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EndPr/>
      <w:sdtContent>
        <w:p w14:paraId="5422FA04" w14:textId="51F72244" w:rsidR="00BA6AD8" w:rsidRPr="003D04D9" w:rsidRDefault="003D04D9" w:rsidP="00BA6AD8">
          <w:pPr>
            <w:jc w:val="left"/>
            <w:rPr>
              <w:b/>
              <w:bCs/>
              <w:i/>
              <w:iCs/>
              <w:color w:val="FFFFFF" w:themeColor="background1"/>
              <w:szCs w:val="28"/>
              <w:lang w:eastAsia="fr-FR"/>
            </w:rPr>
          </w:pPr>
          <w:r w:rsidRPr="003D04D9">
            <w:rPr>
              <w:b/>
              <w:bCs/>
              <w:i/>
              <w:iCs/>
              <w:noProof/>
              <w:color w:val="FFFFFF" w:themeColor="background1"/>
              <w:szCs w:val="28"/>
              <w:lang w:eastAsia="fr-FR"/>
              <w14:ligatures w14:val="standardContextual"/>
            </w:rPr>
            <mc:AlternateContent>
              <mc:Choice Requires="wps">
                <w:drawing>
                  <wp:anchor distT="0" distB="0" distL="114300" distR="114300" simplePos="0" relativeHeight="251657728" behindDoc="1" locked="0" layoutInCell="1" allowOverlap="1" wp14:anchorId="10EA6F1C" wp14:editId="38F2AE01">
                    <wp:simplePos x="0" y="0"/>
                    <wp:positionH relativeFrom="column">
                      <wp:posOffset>-1085850</wp:posOffset>
                    </wp:positionH>
                    <wp:positionV relativeFrom="paragraph">
                      <wp:posOffset>-1085850</wp:posOffset>
                    </wp:positionV>
                    <wp:extent cx="15316200" cy="10858500"/>
                    <wp:effectExtent l="0" t="0" r="19050" b="19050"/>
                    <wp:wrapNone/>
                    <wp:docPr id="1404196663" name="Rectangle 4"/>
                    <wp:cNvGraphicFramePr/>
                    <a:graphic xmlns:a="http://schemas.openxmlformats.org/drawingml/2006/main">
                      <a:graphicData uri="http://schemas.microsoft.com/office/word/2010/wordprocessingShape">
                        <wps:wsp>
                          <wps:cNvSpPr/>
                          <wps:spPr>
                            <a:xfrm>
                              <a:off x="0" y="0"/>
                              <a:ext cx="15316200" cy="1085850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FBF115" id="Rectangle 4" o:spid="_x0000_s1026" style="position:absolute;margin-left:-85.5pt;margin-top:-85.5pt;width:1206pt;height:85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8NadwIAAHEFAAAOAAAAZHJzL2Uyb0RvYy54bWysVE1v2zAMvQ/YfxB0Xx1nTZsFdYogRYcB&#10;XVusHXpWZSkWIImapMTJfv0o2XGCfuww7GKLIvlIPpG8uNwaTTbCBwW2ouXJiBJhOdTKrir68/H6&#10;05SSEJmtmQYrKroTgV7OP364aN1MjKEBXQtPEMSGWesq2sToZkUReCMMCyfghEWlBG9YRNGvitqz&#10;FtGNLsaj0VnRgq+dBy5CwNurTknnGV9KweOdlEFEoiuKucX89fn7nL7F/ILNVp65RvE+DfYPWRim&#10;LAYdoK5YZGTt1Ssoo7iHADKecDAFSKm4yDVgNeXoRTUPDXMi14LkBDfQFP4fLL/dPLh7jzS0LswC&#10;HlMVW+lN+mN+ZJvJ2g1kiW0kHC/LyefyDJ+AEo7KcjSdTCcoIVJxAHA+xK8CDEmHinp8j0wT29yE&#10;2JnuTVK8AFrV10rrLKQeEEvtyYbh6zHOhY1ldtdr8x3q7v4co+7D5rZJLjmJI7TiUF0+xZ0WKYa2&#10;P4QkqsZ6xhl5QHgdNDSsFt11+W7MDJiQJVYxYHdZv4Pd0dDbJ1eR+3ZwHv0tsc558MiRwcbB2SgL&#10;/i0AjVT2kTt7pOyImnR8hnp374mHbmqC49cKn/GGhXjPPI4Jvj2OfrzDj9TQVhT6EyUN+N9v3Sd7&#10;7F7UUtLi2FU0/FozLyjR3yz29Zfy9DTNaRZOJ+djFPyx5vlYY9dmCdgbJS4Zx/Mx2Ue9P0oP5gk3&#10;xCJFRRWzHGNXlEe/F5axWwe4Y7hYLLIZzqZj8cY+OJ7AE6upTR+3T8y7vpcjDsIt7EeUzV60dGeb&#10;PC0s1hGkyv1+4LXnG+c6N2u/g9LiOJaz1WFTzv8AAAD//wMAUEsDBBQABgAIAAAAIQBOCYPa4QAA&#10;AA8BAAAPAAAAZHJzL2Rvd25yZXYueG1sTI/BTsMwEETvSPyDtUjcWjsB2hLiVICEVIkiRMqlNyfe&#10;OhGxHcVuGv6e7QW47e6MZt/k68l2bMQhtN5JSOYCGLra69YZCZ+7l9kKWIjKadV5hxK+McC6uLzI&#10;Vab9yX3gWEbDKMSFTEloYuwzzkPdoFVh7nt0pB38YFWkdTBcD+pE4bbjqRALblXr6EOjenxusP4q&#10;j1YCf9qb91JU27fF5nUfNtOhXJlRyuur6fEBWMQp/pnhjE/oUBBT5Y9OB9ZJmCXLhMrE34k8aXp7&#10;vlXkvru5F8CLnP/vUfwAAAD//wMAUEsBAi0AFAAGAAgAAAAhALaDOJL+AAAA4QEAABMAAAAAAAAA&#10;AAAAAAAAAAAAAFtDb250ZW50X1R5cGVzXS54bWxQSwECLQAUAAYACAAAACEAOP0h/9YAAACUAQAA&#10;CwAAAAAAAAAAAAAAAAAvAQAAX3JlbHMvLnJlbHNQSwECLQAUAAYACAAAACEA87/DWncCAABxBQAA&#10;DgAAAAAAAAAAAAAAAAAuAgAAZHJzL2Uyb0RvYy54bWxQSwECLQAUAAYACAAAACEATgmD2uEAAAAP&#10;AQAADwAAAAAAAAAAAAAAAADRBAAAZHJzL2Rvd25yZXYueG1sUEsFBgAAAAAEAAQA8wAAAN8FAAAA&#10;AA==&#10;" fillcolor="#2f5496 [2404]" strokecolor="#09101d [484]" strokeweight="1pt"/>
                </w:pict>
              </mc:Fallback>
            </mc:AlternateContent>
          </w:r>
          <w:r w:rsidR="00BA6AD8" w:rsidRPr="003D04D9">
            <w:rPr>
              <w:b/>
              <w:bCs/>
              <w:i/>
              <w:iCs/>
              <w:color w:val="FFFFFF" w:themeColor="background1"/>
              <w:szCs w:val="28"/>
              <w:lang w:eastAsia="fr-FR"/>
            </w:rPr>
            <w:t>Module 1 : Audit de la situation juridique des personnes et des biens et stratégies patrimoniales civiles</w:t>
          </w:r>
        </w:p>
        <w:p w14:paraId="0B2CA96A" w14:textId="77777777" w:rsidR="00000011" w:rsidRPr="00C21566" w:rsidRDefault="00000011" w:rsidP="00000011">
          <w:pPr>
            <w:jc w:val="left"/>
            <w:rPr>
              <w:b/>
              <w:bCs/>
              <w:i/>
              <w:iCs/>
              <w:color w:val="FFFFFF" w:themeColor="background1"/>
              <w:szCs w:val="28"/>
              <w:lang w:eastAsia="fr-FR"/>
            </w:rPr>
          </w:pPr>
          <w:r w:rsidRPr="00C21566">
            <w:rPr>
              <w:b/>
              <w:bCs/>
              <w:i/>
              <w:iCs/>
              <w:color w:val="FFFFFF" w:themeColor="background1"/>
              <w:szCs w:val="28"/>
              <w:lang w:eastAsia="fr-FR"/>
            </w:rPr>
            <w:t xml:space="preserve">Leçon </w:t>
          </w:r>
          <w:r>
            <w:rPr>
              <w:b/>
              <w:bCs/>
              <w:i/>
              <w:iCs/>
              <w:color w:val="FFFFFF" w:themeColor="background1"/>
              <w:szCs w:val="28"/>
              <w:lang w:eastAsia="fr-FR"/>
            </w:rPr>
            <w:t>3</w:t>
          </w:r>
          <w:r w:rsidRPr="00C21566">
            <w:rPr>
              <w:b/>
              <w:bCs/>
              <w:i/>
              <w:iCs/>
              <w:color w:val="FFFFFF" w:themeColor="background1"/>
              <w:szCs w:val="28"/>
              <w:lang w:eastAsia="fr-FR"/>
            </w:rPr>
            <w:t xml:space="preserve"> : </w:t>
          </w:r>
          <w:r>
            <w:rPr>
              <w:b/>
              <w:bCs/>
              <w:i/>
              <w:iCs/>
              <w:color w:val="FFFFFF" w:themeColor="background1"/>
              <w:szCs w:val="28"/>
              <w:lang w:eastAsia="fr-FR"/>
            </w:rPr>
            <w:t>Aspects patrimoniaux d</w:t>
          </w:r>
          <w:r w:rsidRPr="00C21566">
            <w:rPr>
              <w:b/>
              <w:bCs/>
              <w:i/>
              <w:iCs/>
              <w:color w:val="FFFFFF" w:themeColor="background1"/>
              <w:szCs w:val="28"/>
              <w:lang w:eastAsia="fr-FR"/>
            </w:rPr>
            <w:t xml:space="preserve">es modes de conjugalité́ et </w:t>
          </w:r>
          <w:r>
            <w:rPr>
              <w:b/>
              <w:bCs/>
              <w:i/>
              <w:iCs/>
              <w:color w:val="FFFFFF" w:themeColor="background1"/>
              <w:szCs w:val="28"/>
              <w:lang w:eastAsia="fr-FR"/>
            </w:rPr>
            <w:t>de l’adoption</w:t>
          </w:r>
        </w:p>
        <w:p w14:paraId="5CDE5566" w14:textId="28F74C03" w:rsidR="00BA6AD8" w:rsidRPr="003D04D9" w:rsidRDefault="00000011" w:rsidP="00BA6AD8">
          <w:pPr>
            <w:jc w:val="left"/>
            <w:rPr>
              <w:b/>
              <w:bCs/>
              <w:i/>
              <w:iCs/>
              <w:color w:val="FFFFFF" w:themeColor="background1"/>
              <w:szCs w:val="28"/>
              <w:lang w:eastAsia="fr-FR"/>
            </w:rPr>
          </w:pPr>
          <w:r>
            <w:rPr>
              <w:b/>
              <w:bCs/>
              <w:i/>
              <w:iCs/>
              <w:color w:val="FFFFFF" w:themeColor="background1"/>
              <w:szCs w:val="28"/>
              <w:lang w:eastAsia="fr-FR"/>
            </w:rPr>
            <w:t xml:space="preserve"> </w:t>
          </w:r>
        </w:p>
        <w:p w14:paraId="2014D392" w14:textId="77777777" w:rsidR="00BA6AD8" w:rsidRPr="003D04D9" w:rsidRDefault="00BA6AD8" w:rsidP="00BA6AD8">
          <w:pPr>
            <w:pStyle w:val="CGPC-elearning"/>
            <w:rPr>
              <w:color w:val="FFFFFF" w:themeColor="background1"/>
              <w:lang w:eastAsia="fr-FR"/>
            </w:rPr>
          </w:pPr>
        </w:p>
        <w:p w14:paraId="1A38758B" w14:textId="77777777" w:rsidR="00BA6AD8" w:rsidRPr="003D04D9" w:rsidRDefault="00BA6AD8" w:rsidP="00BA6AD8">
          <w:pPr>
            <w:pStyle w:val="CGPC-elearning"/>
            <w:rPr>
              <w:color w:val="FFFFFF" w:themeColor="background1"/>
              <w:lang w:eastAsia="fr-FR"/>
            </w:rPr>
          </w:pPr>
        </w:p>
        <w:p w14:paraId="03524546" w14:textId="77777777" w:rsidR="00BA6AD8" w:rsidRPr="003D04D9" w:rsidRDefault="00BA6AD8" w:rsidP="00BA6AD8">
          <w:pPr>
            <w:pStyle w:val="CGPC-elearning"/>
            <w:rPr>
              <w:color w:val="FFFFFF" w:themeColor="background1"/>
              <w:lang w:eastAsia="fr-FR"/>
            </w:rPr>
          </w:pPr>
        </w:p>
        <w:p w14:paraId="396A5140" w14:textId="77777777" w:rsidR="00BA6AD8" w:rsidRPr="003D04D9" w:rsidRDefault="00BA6AD8" w:rsidP="00BA6AD8">
          <w:pPr>
            <w:pStyle w:val="CGPC-elearning"/>
            <w:rPr>
              <w:color w:val="FFFFFF" w:themeColor="background1"/>
              <w:lang w:eastAsia="fr-FR"/>
            </w:rPr>
          </w:pPr>
        </w:p>
        <w:p w14:paraId="487831A4" w14:textId="77777777" w:rsidR="00BA6AD8" w:rsidRPr="003D04D9" w:rsidRDefault="00BA6AD8" w:rsidP="00BA6AD8">
          <w:pPr>
            <w:pStyle w:val="CGPC-elearning"/>
            <w:rPr>
              <w:color w:val="FFFFFF" w:themeColor="background1"/>
              <w:lang w:eastAsia="fr-FR"/>
            </w:rPr>
          </w:pPr>
        </w:p>
        <w:p w14:paraId="3A0CAE69" w14:textId="77777777" w:rsidR="00BA6AD8" w:rsidRPr="003D04D9" w:rsidRDefault="00BA6AD8" w:rsidP="00BA6AD8">
          <w:pPr>
            <w:pStyle w:val="CGPC-elearning"/>
            <w:rPr>
              <w:color w:val="FFFFFF" w:themeColor="background1"/>
              <w:lang w:eastAsia="fr-FR"/>
            </w:rPr>
          </w:pPr>
        </w:p>
        <w:p w14:paraId="74E0F6EF" w14:textId="77777777" w:rsidR="00BA6AD8" w:rsidRPr="003D04D9" w:rsidRDefault="00BA6AD8" w:rsidP="00BA6AD8">
          <w:pPr>
            <w:pStyle w:val="CGPC-elearning"/>
            <w:rPr>
              <w:color w:val="FFFFFF" w:themeColor="background1"/>
              <w:lang w:eastAsia="fr-FR"/>
            </w:rPr>
          </w:pPr>
        </w:p>
        <w:p w14:paraId="1AB68344" w14:textId="77777777" w:rsidR="00BA6AD8" w:rsidRPr="003D04D9" w:rsidRDefault="00BA6AD8" w:rsidP="00BA6AD8">
          <w:pPr>
            <w:pStyle w:val="CGPC-elearning"/>
            <w:rPr>
              <w:color w:val="FFFFFF" w:themeColor="background1"/>
              <w:lang w:eastAsia="fr-FR"/>
            </w:rPr>
          </w:pPr>
        </w:p>
        <w:p w14:paraId="507C4023" w14:textId="77777777" w:rsidR="00BA6AD8" w:rsidRPr="003D04D9" w:rsidRDefault="00BA6AD8" w:rsidP="00BA6AD8">
          <w:pPr>
            <w:pStyle w:val="CGPC-elearning"/>
            <w:rPr>
              <w:color w:val="FFFFFF" w:themeColor="background1"/>
              <w:lang w:eastAsia="fr-FR"/>
            </w:rPr>
          </w:pPr>
        </w:p>
        <w:p w14:paraId="43E30A0D" w14:textId="007D7DC8" w:rsidR="00677448" w:rsidRDefault="00BA6AD8" w:rsidP="00BA6AD8">
          <w:pPr>
            <w:jc w:val="left"/>
            <w:rPr>
              <w:lang w:eastAsia="fr-FR"/>
            </w:rPr>
          </w:pPr>
          <w:r w:rsidRPr="003D04D9">
            <w:rPr>
              <w:b/>
              <w:bCs/>
              <w:color w:val="FFFFFF" w:themeColor="background1"/>
              <w:sz w:val="60"/>
              <w:szCs w:val="60"/>
              <w:lang w:eastAsia="fr-FR"/>
            </w:rPr>
            <w:t xml:space="preserve">Chapitre 4 : De la protection du partenaire </w:t>
          </w:r>
          <w:proofErr w:type="spellStart"/>
          <w:r w:rsidRPr="003D04D9">
            <w:rPr>
              <w:b/>
              <w:bCs/>
              <w:color w:val="FFFFFF" w:themeColor="background1"/>
              <w:sz w:val="60"/>
              <w:szCs w:val="60"/>
              <w:lang w:eastAsia="fr-FR"/>
            </w:rPr>
            <w:t>PAC</w:t>
          </w:r>
          <w:r w:rsidR="00F82474">
            <w:rPr>
              <w:b/>
              <w:bCs/>
              <w:color w:val="FFFFFF" w:themeColor="background1"/>
              <w:sz w:val="60"/>
              <w:szCs w:val="60"/>
              <w:lang w:eastAsia="fr-FR"/>
            </w:rPr>
            <w:t>S</w:t>
          </w:r>
          <w:r w:rsidRPr="003D04D9">
            <w:rPr>
              <w:b/>
              <w:bCs/>
              <w:color w:val="FFFFFF" w:themeColor="background1"/>
              <w:sz w:val="60"/>
              <w:szCs w:val="60"/>
              <w:lang w:eastAsia="fr-FR"/>
            </w:rPr>
            <w:t>é</w:t>
          </w:r>
          <w:proofErr w:type="spellEnd"/>
          <w:r w:rsidRPr="003D04D9">
            <w:rPr>
              <w:b/>
              <w:bCs/>
              <w:color w:val="FFFFFF" w:themeColor="background1"/>
              <w:lang w:eastAsia="fr-FR"/>
            </w:rPr>
            <w:t xml:space="preserve"> </w:t>
          </w:r>
          <w:r w:rsidR="00677448">
            <w:rPr>
              <w:b/>
              <w:bCs/>
              <w:lang w:eastAsia="fr-FR"/>
            </w:rPr>
            <w:br w:type="page"/>
          </w:r>
        </w:p>
      </w:sdtContent>
    </w:sdt>
    <w:sdt>
      <w:sdtPr>
        <w:id w:val="-308484914"/>
        <w:docPartObj>
          <w:docPartGallery w:val="Table of Contents"/>
          <w:docPartUnique/>
        </w:docPartObj>
      </w:sdtPr>
      <w:sdtEndPr>
        <w:rPr>
          <w:b/>
          <w:bCs/>
          <w:noProof/>
        </w:rPr>
      </w:sdtEndPr>
      <w:sdtContent>
        <w:p w14:paraId="33B661DD" w14:textId="24EB5AEF" w:rsidR="00B8067C" w:rsidRPr="00B8067C" w:rsidRDefault="00B8067C" w:rsidP="00B8067C">
          <w:r>
            <w:t>Table des matières</w:t>
          </w:r>
        </w:p>
        <w:p w14:paraId="3A4F6C8C" w14:textId="26F9EC41" w:rsidR="00544450" w:rsidRDefault="00B8067C">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r>
            <w:fldChar w:fldCharType="begin"/>
          </w:r>
          <w:r>
            <w:instrText xml:space="preserve"> TOC \o "1-3" \h \z \u </w:instrText>
          </w:r>
          <w:r>
            <w:fldChar w:fldCharType="separate"/>
          </w:r>
          <w:hyperlink w:anchor="_Toc185511021" w:history="1">
            <w:r w:rsidR="00544450" w:rsidRPr="00BC618B">
              <w:rPr>
                <w:rStyle w:val="Lienhypertexte"/>
                <w:noProof/>
              </w:rPr>
              <w:t>I.</w:t>
            </w:r>
            <w:r w:rsidR="00544450">
              <w:rPr>
                <w:rFonts w:asciiTheme="minorHAnsi" w:eastAsiaTheme="minorEastAsia" w:hAnsiTheme="minorHAnsi"/>
                <w:noProof/>
                <w:kern w:val="2"/>
                <w:sz w:val="24"/>
                <w:szCs w:val="24"/>
                <w:lang w:val="en-US"/>
                <w14:ligatures w14:val="standardContextual"/>
              </w:rPr>
              <w:tab/>
            </w:r>
            <w:r w:rsidR="00544450" w:rsidRPr="00BC618B">
              <w:rPr>
                <w:rStyle w:val="Lienhypertexte"/>
                <w:noProof/>
              </w:rPr>
              <w:t>L’option pour l’indivision</w:t>
            </w:r>
            <w:r w:rsidR="00544450">
              <w:rPr>
                <w:noProof/>
                <w:webHidden/>
              </w:rPr>
              <w:tab/>
            </w:r>
            <w:r w:rsidR="00544450">
              <w:rPr>
                <w:noProof/>
                <w:webHidden/>
              </w:rPr>
              <w:fldChar w:fldCharType="begin"/>
            </w:r>
            <w:r w:rsidR="00544450">
              <w:rPr>
                <w:noProof/>
                <w:webHidden/>
              </w:rPr>
              <w:instrText xml:space="preserve"> PAGEREF _Toc185511021 \h </w:instrText>
            </w:r>
            <w:r w:rsidR="00544450">
              <w:rPr>
                <w:noProof/>
                <w:webHidden/>
              </w:rPr>
            </w:r>
            <w:r w:rsidR="00544450">
              <w:rPr>
                <w:noProof/>
                <w:webHidden/>
              </w:rPr>
              <w:fldChar w:fldCharType="separate"/>
            </w:r>
            <w:r w:rsidR="007010FF">
              <w:rPr>
                <w:noProof/>
                <w:webHidden/>
              </w:rPr>
              <w:t>2</w:t>
            </w:r>
            <w:r w:rsidR="00544450">
              <w:rPr>
                <w:noProof/>
                <w:webHidden/>
              </w:rPr>
              <w:fldChar w:fldCharType="end"/>
            </w:r>
          </w:hyperlink>
        </w:p>
        <w:p w14:paraId="1404145F" w14:textId="46E6AF46" w:rsidR="00544450" w:rsidRDefault="00544450">
          <w:pPr>
            <w:pStyle w:val="TM3"/>
            <w:rPr>
              <w:rFonts w:asciiTheme="minorHAnsi" w:eastAsiaTheme="minorEastAsia" w:hAnsiTheme="minorHAnsi"/>
              <w:noProof/>
              <w:kern w:val="2"/>
              <w:sz w:val="24"/>
              <w:szCs w:val="24"/>
              <w:lang w:val="en-US"/>
              <w14:ligatures w14:val="standardContextual"/>
            </w:rPr>
          </w:pPr>
          <w:hyperlink w:anchor="_Toc185511022" w:history="1">
            <w:r w:rsidRPr="00BC618B">
              <w:rPr>
                <w:rStyle w:val="Lienhypertexte"/>
                <w:noProof/>
              </w:rPr>
              <w:t>1.</w:t>
            </w:r>
            <w:r>
              <w:rPr>
                <w:rFonts w:asciiTheme="minorHAnsi" w:eastAsiaTheme="minorEastAsia" w:hAnsiTheme="minorHAnsi"/>
                <w:noProof/>
                <w:kern w:val="2"/>
                <w:sz w:val="24"/>
                <w:szCs w:val="24"/>
                <w:lang w:val="en-US"/>
                <w14:ligatures w14:val="standardContextual"/>
              </w:rPr>
              <w:tab/>
            </w:r>
            <w:r w:rsidRPr="00BC618B">
              <w:rPr>
                <w:rStyle w:val="Lienhypertexte"/>
                <w:noProof/>
              </w:rPr>
              <w:t>Contenu et conséquences de l’option pour les PACsés</w:t>
            </w:r>
            <w:r>
              <w:rPr>
                <w:noProof/>
                <w:webHidden/>
              </w:rPr>
              <w:tab/>
            </w:r>
            <w:r>
              <w:rPr>
                <w:noProof/>
                <w:webHidden/>
              </w:rPr>
              <w:fldChar w:fldCharType="begin"/>
            </w:r>
            <w:r>
              <w:rPr>
                <w:noProof/>
                <w:webHidden/>
              </w:rPr>
              <w:instrText xml:space="preserve"> PAGEREF _Toc185511022 \h </w:instrText>
            </w:r>
            <w:r>
              <w:rPr>
                <w:noProof/>
                <w:webHidden/>
              </w:rPr>
            </w:r>
            <w:r>
              <w:rPr>
                <w:noProof/>
                <w:webHidden/>
              </w:rPr>
              <w:fldChar w:fldCharType="separate"/>
            </w:r>
            <w:r w:rsidR="007010FF">
              <w:rPr>
                <w:noProof/>
                <w:webHidden/>
              </w:rPr>
              <w:t>4</w:t>
            </w:r>
            <w:r>
              <w:rPr>
                <w:noProof/>
                <w:webHidden/>
              </w:rPr>
              <w:fldChar w:fldCharType="end"/>
            </w:r>
          </w:hyperlink>
        </w:p>
        <w:p w14:paraId="7B8E4E5C" w14:textId="77CAC856" w:rsidR="00544450" w:rsidRDefault="00544450">
          <w:pPr>
            <w:pStyle w:val="TM3"/>
            <w:rPr>
              <w:rFonts w:asciiTheme="minorHAnsi" w:eastAsiaTheme="minorEastAsia" w:hAnsiTheme="minorHAnsi"/>
              <w:noProof/>
              <w:kern w:val="2"/>
              <w:sz w:val="24"/>
              <w:szCs w:val="24"/>
              <w:lang w:val="en-US"/>
              <w14:ligatures w14:val="standardContextual"/>
            </w:rPr>
          </w:pPr>
          <w:hyperlink w:anchor="_Toc185511023" w:history="1">
            <w:r w:rsidRPr="00BC618B">
              <w:rPr>
                <w:rStyle w:val="Lienhypertexte"/>
                <w:noProof/>
              </w:rPr>
              <w:t>2.</w:t>
            </w:r>
            <w:r>
              <w:rPr>
                <w:rFonts w:asciiTheme="minorHAnsi" w:eastAsiaTheme="minorEastAsia" w:hAnsiTheme="minorHAnsi"/>
                <w:noProof/>
                <w:kern w:val="2"/>
                <w:sz w:val="24"/>
                <w:szCs w:val="24"/>
                <w:lang w:val="en-US"/>
                <w14:ligatures w14:val="standardContextual"/>
              </w:rPr>
              <w:tab/>
            </w:r>
            <w:r w:rsidRPr="00BC618B">
              <w:rPr>
                <w:rStyle w:val="Lienhypertexte"/>
                <w:noProof/>
              </w:rPr>
              <w:t>Les biens restant propriété exclusive de chaque membre</w:t>
            </w:r>
            <w:r>
              <w:rPr>
                <w:noProof/>
                <w:webHidden/>
              </w:rPr>
              <w:tab/>
            </w:r>
            <w:r>
              <w:rPr>
                <w:noProof/>
                <w:webHidden/>
              </w:rPr>
              <w:fldChar w:fldCharType="begin"/>
            </w:r>
            <w:r>
              <w:rPr>
                <w:noProof/>
                <w:webHidden/>
              </w:rPr>
              <w:instrText xml:space="preserve"> PAGEREF _Toc185511023 \h </w:instrText>
            </w:r>
            <w:r>
              <w:rPr>
                <w:noProof/>
                <w:webHidden/>
              </w:rPr>
            </w:r>
            <w:r>
              <w:rPr>
                <w:noProof/>
                <w:webHidden/>
              </w:rPr>
              <w:fldChar w:fldCharType="separate"/>
            </w:r>
            <w:r w:rsidR="007010FF">
              <w:rPr>
                <w:noProof/>
                <w:webHidden/>
              </w:rPr>
              <w:t>4</w:t>
            </w:r>
            <w:r>
              <w:rPr>
                <w:noProof/>
                <w:webHidden/>
              </w:rPr>
              <w:fldChar w:fldCharType="end"/>
            </w:r>
          </w:hyperlink>
        </w:p>
        <w:p w14:paraId="1D611510" w14:textId="43B80CF5" w:rsidR="00544450" w:rsidRDefault="00544450">
          <w:pPr>
            <w:pStyle w:val="TM3"/>
            <w:rPr>
              <w:rFonts w:asciiTheme="minorHAnsi" w:eastAsiaTheme="minorEastAsia" w:hAnsiTheme="minorHAnsi"/>
              <w:noProof/>
              <w:kern w:val="2"/>
              <w:sz w:val="24"/>
              <w:szCs w:val="24"/>
              <w:lang w:val="en-US"/>
              <w14:ligatures w14:val="standardContextual"/>
            </w:rPr>
          </w:pPr>
          <w:hyperlink w:anchor="_Toc185511024" w:history="1">
            <w:r w:rsidRPr="00BC618B">
              <w:rPr>
                <w:rStyle w:val="Lienhypertexte"/>
                <w:noProof/>
              </w:rPr>
              <w:t>3.</w:t>
            </w:r>
            <w:r>
              <w:rPr>
                <w:rFonts w:asciiTheme="minorHAnsi" w:eastAsiaTheme="minorEastAsia" w:hAnsiTheme="minorHAnsi"/>
                <w:noProof/>
                <w:kern w:val="2"/>
                <w:sz w:val="24"/>
                <w:szCs w:val="24"/>
                <w:lang w:val="en-US"/>
                <w14:ligatures w14:val="standardContextual"/>
              </w:rPr>
              <w:tab/>
            </w:r>
            <w:r w:rsidRPr="00BC618B">
              <w:rPr>
                <w:rStyle w:val="Lienhypertexte"/>
                <w:noProof/>
              </w:rPr>
              <w:t>La gestion des biens en régime de l’indivision</w:t>
            </w:r>
            <w:r>
              <w:rPr>
                <w:noProof/>
                <w:webHidden/>
              </w:rPr>
              <w:tab/>
            </w:r>
            <w:r>
              <w:rPr>
                <w:noProof/>
                <w:webHidden/>
              </w:rPr>
              <w:fldChar w:fldCharType="begin"/>
            </w:r>
            <w:r>
              <w:rPr>
                <w:noProof/>
                <w:webHidden/>
              </w:rPr>
              <w:instrText xml:space="preserve"> PAGEREF _Toc185511024 \h </w:instrText>
            </w:r>
            <w:r>
              <w:rPr>
                <w:noProof/>
                <w:webHidden/>
              </w:rPr>
            </w:r>
            <w:r>
              <w:rPr>
                <w:noProof/>
                <w:webHidden/>
              </w:rPr>
              <w:fldChar w:fldCharType="separate"/>
            </w:r>
            <w:r w:rsidR="007010FF">
              <w:rPr>
                <w:noProof/>
                <w:webHidden/>
              </w:rPr>
              <w:t>5</w:t>
            </w:r>
            <w:r>
              <w:rPr>
                <w:noProof/>
                <w:webHidden/>
              </w:rPr>
              <w:fldChar w:fldCharType="end"/>
            </w:r>
          </w:hyperlink>
        </w:p>
        <w:p w14:paraId="3071C12F" w14:textId="5A3371E3" w:rsidR="00544450" w:rsidRDefault="00544450">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185511025" w:history="1">
            <w:r w:rsidRPr="00BC618B">
              <w:rPr>
                <w:rStyle w:val="Lienhypertexte"/>
                <w:noProof/>
              </w:rPr>
              <w:t>II.</w:t>
            </w:r>
            <w:r>
              <w:rPr>
                <w:rFonts w:asciiTheme="minorHAnsi" w:eastAsiaTheme="minorEastAsia" w:hAnsiTheme="minorHAnsi"/>
                <w:noProof/>
                <w:kern w:val="2"/>
                <w:sz w:val="24"/>
                <w:szCs w:val="24"/>
                <w:lang w:val="en-US"/>
                <w14:ligatures w14:val="standardContextual"/>
              </w:rPr>
              <w:tab/>
            </w:r>
            <w:r w:rsidRPr="00BC618B">
              <w:rPr>
                <w:rStyle w:val="Lienhypertexte"/>
                <w:noProof/>
              </w:rPr>
              <w:t>Libéralités entre partenaires : limites civiles et fiscalité</w:t>
            </w:r>
            <w:r>
              <w:rPr>
                <w:noProof/>
                <w:webHidden/>
              </w:rPr>
              <w:tab/>
            </w:r>
            <w:r>
              <w:rPr>
                <w:noProof/>
                <w:webHidden/>
              </w:rPr>
              <w:fldChar w:fldCharType="begin"/>
            </w:r>
            <w:r>
              <w:rPr>
                <w:noProof/>
                <w:webHidden/>
              </w:rPr>
              <w:instrText xml:space="preserve"> PAGEREF _Toc185511025 \h </w:instrText>
            </w:r>
            <w:r>
              <w:rPr>
                <w:noProof/>
                <w:webHidden/>
              </w:rPr>
            </w:r>
            <w:r>
              <w:rPr>
                <w:noProof/>
                <w:webHidden/>
              </w:rPr>
              <w:fldChar w:fldCharType="separate"/>
            </w:r>
            <w:r w:rsidR="007010FF">
              <w:rPr>
                <w:noProof/>
                <w:webHidden/>
              </w:rPr>
              <w:t>0</w:t>
            </w:r>
            <w:r>
              <w:rPr>
                <w:noProof/>
                <w:webHidden/>
              </w:rPr>
              <w:fldChar w:fldCharType="end"/>
            </w:r>
          </w:hyperlink>
        </w:p>
        <w:p w14:paraId="76D52D41" w14:textId="170CEEA9" w:rsidR="00B8067C" w:rsidRDefault="00B8067C">
          <w:r>
            <w:rPr>
              <w:b/>
              <w:bCs/>
              <w:noProof/>
            </w:rPr>
            <w:fldChar w:fldCharType="end"/>
          </w:r>
        </w:p>
      </w:sdtContent>
    </w:sdt>
    <w:p w14:paraId="195FC356" w14:textId="15EB170F" w:rsidR="00B8067C" w:rsidRDefault="00B8067C"/>
    <w:p w14:paraId="052E7E67" w14:textId="033FF4EE" w:rsidR="00EB0768" w:rsidRDefault="00B42117" w:rsidP="00544450">
      <w:pPr>
        <w:pStyle w:val="Titre2"/>
      </w:pPr>
      <w:r>
        <w:rPr>
          <w:rFonts w:eastAsia="Times New Roman"/>
          <w:lang w:eastAsia="fr-FR"/>
        </w:rPr>
        <w:br w:type="page"/>
      </w:r>
    </w:p>
    <w:p w14:paraId="602E041B" w14:textId="3CFDFDF1" w:rsidR="00BA6AD8" w:rsidRDefault="000B116D" w:rsidP="00BA6AD8">
      <w:r>
        <w:rPr>
          <w:noProof/>
          <w14:ligatures w14:val="standardContextual"/>
        </w:rPr>
        <w:lastRenderedPageBreak/>
        <mc:AlternateContent>
          <mc:Choice Requires="wps">
            <w:drawing>
              <wp:anchor distT="0" distB="0" distL="114300" distR="114300" simplePos="0" relativeHeight="251656704" behindDoc="1" locked="0" layoutInCell="1" allowOverlap="1" wp14:anchorId="7703DD8A" wp14:editId="2CA7B5B5">
                <wp:simplePos x="0" y="0"/>
                <wp:positionH relativeFrom="column">
                  <wp:posOffset>-914400</wp:posOffset>
                </wp:positionH>
                <wp:positionV relativeFrom="paragraph">
                  <wp:posOffset>-895350</wp:posOffset>
                </wp:positionV>
                <wp:extent cx="15182850" cy="10763250"/>
                <wp:effectExtent l="0" t="0" r="19050" b="19050"/>
                <wp:wrapNone/>
                <wp:docPr id="250879355" name="Rectangle 5"/>
                <wp:cNvGraphicFramePr/>
                <a:graphic xmlns:a="http://schemas.openxmlformats.org/drawingml/2006/main">
                  <a:graphicData uri="http://schemas.microsoft.com/office/word/2010/wordprocessingShape">
                    <wps:wsp>
                      <wps:cNvSpPr/>
                      <wps:spPr>
                        <a:xfrm>
                          <a:off x="0" y="0"/>
                          <a:ext cx="15182850" cy="1076325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04CE3D2" id="Rectangle 5" o:spid="_x0000_s1026" style="position:absolute;margin-left:-1in;margin-top:-70.5pt;width:1195.5pt;height:847.5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BOCeAIAAHEFAAAOAAAAZHJzL2Uyb0RvYy54bWysVE1v2zAMvQ/YfxB0X21nTZsFdYqgRYcB&#10;XVusHXpWZakWIImapMTJfv0o2XGCfuww7CKLIvlIPpM8O98YTdbCBwW2ptVRSYmwHBpln2v68+Hq&#10;04ySEJltmAYraroVgZ4vPn4469xcTKAF3QhPEMSGeedq2sbo5kUReCsMC0fghEWlBG9YRNE/F41n&#10;HaIbXUzK8qTowDfOAxch4Otlr6SLjC+l4PFWyiAi0TXF3GI+fT6f0lksztj82TPXKj6kwf4hC8OU&#10;xaAj1CWLjKy8egVlFPcQQMYjDqYAKRUXuQaspipfVHPfMidyLUhOcCNN4f/B8pv1vbvzSEPnwjzg&#10;NVWxkd6kL+ZHNpms7UiW2ETC8bGaVrPJbIqkclRW5enJ5wlKiFTsAZwP8asAQ9Klph7/R6aJra9D&#10;7E13JileAK2aK6V1FlIPiAvtyZrh32OcCxur7K5X5js0/fvptCx3YXPbJJecxAFasa8u3+JWixRD&#10;2x9CEtVgPZOMPCK8Dhpa1oj+uXo3ZgZMyBKrGLH7rN/B7mkY7JOryH07Opd/S6x3Hj1yZLBxdDbK&#10;gn8LQCOVQ+TeHik7oCZdn6DZ3nnioZ+a4PiVwt94zUK8Yx7HBP89jn68xUNq6GoKw42SFvzvt96T&#10;PXYvainpcOxqGn6tmBeU6G8W+/pLdXyc5jQLx9PTCQr+UPN0qLErcwHYGxUuGcfzNdlHvbtKD+YR&#10;N8QyRUUVsxxj15RHvxMuYr8OcMdwsVxmM5xNx+K1vXc8gSdWU5s+bB6Zd0MvRxyEG9iNKJu/aOne&#10;NnlaWK4iSJX7fc/rwDfOdW7WYQelxXEoZ6v9plz8AQAA//8DAFBLAwQUAAYACAAAACEAtZGwjOIA&#10;AAAPAQAADwAAAGRycy9kb3ducmV2LnhtbEyPQUvDQBCF74L/YZmCt3aTkNYSsykqCAUVMXrpbZNM&#10;N6HZ2ZDdpvHfO3rR2xve48338t1sezHh6DtHCuJVBAKpdk1HRsHnx9NyC8IHTY3uHaGCL/SwK66v&#10;cp017kLvOJXBCC4hn2kFbQhDJqWvW7Tar9yAxN7RjVYHPkcjm1FfuNz2MomijbS6I/7Q6gEfW6xP&#10;5dkqkA8H81ZG1cvrZv988Pv5WG7NpNTNYr6/AxFwDn9h+MFndCiYqXJnarzoFSzjNOUx4VfFrDiT&#10;JOktq4rT6zW7ssjl/x3FNwAAAP//AwBQSwECLQAUAAYACAAAACEAtoM4kv4AAADhAQAAEwAAAAAA&#10;AAAAAAAAAAAAAAAAW0NvbnRlbnRfVHlwZXNdLnhtbFBLAQItABQABgAIAAAAIQA4/SH/1gAAAJQB&#10;AAALAAAAAAAAAAAAAAAAAC8BAABfcmVscy8ucmVsc1BLAQItABQABgAIAAAAIQDu0BOCeAIAAHEF&#10;AAAOAAAAAAAAAAAAAAAAAC4CAABkcnMvZTJvRG9jLnhtbFBLAQItABQABgAIAAAAIQC1kbCM4gAA&#10;AA8BAAAPAAAAAAAAAAAAAAAAANIEAABkcnMvZG93bnJldi54bWxQSwUGAAAAAAQABADzAAAA4QUA&#10;AAAA&#10;" fillcolor="#2f5496 [2404]" strokecolor="#09101d [484]" strokeweight="1pt"/>
            </w:pict>
          </mc:Fallback>
        </mc:AlternateContent>
      </w:r>
    </w:p>
    <w:p w14:paraId="6F023CF1" w14:textId="77777777" w:rsidR="00BA6AD8" w:rsidRDefault="00BA6AD8" w:rsidP="00BA6AD8"/>
    <w:p w14:paraId="59CC7DE4" w14:textId="77777777" w:rsidR="00BA6AD8" w:rsidRDefault="00BA6AD8" w:rsidP="00BA6AD8"/>
    <w:p w14:paraId="3398A00F" w14:textId="77777777" w:rsidR="00BA6AD8" w:rsidRDefault="00BA6AD8" w:rsidP="00BA6AD8"/>
    <w:p w14:paraId="3EA9F8C5" w14:textId="77777777" w:rsidR="00BA6AD8" w:rsidRDefault="00BA6AD8" w:rsidP="00BA6AD8"/>
    <w:p w14:paraId="7B3ACD02" w14:textId="77777777" w:rsidR="00BA6AD8" w:rsidRDefault="00BA6AD8" w:rsidP="00BA6AD8"/>
    <w:p w14:paraId="05F94B67" w14:textId="77777777" w:rsidR="00BA6AD8" w:rsidRDefault="00BA6AD8" w:rsidP="00BA6AD8"/>
    <w:p w14:paraId="51A2D5FA" w14:textId="77777777" w:rsidR="00BA6AD8" w:rsidRDefault="00BA6AD8" w:rsidP="00BA6AD8"/>
    <w:p w14:paraId="31757A67" w14:textId="77777777" w:rsidR="00BA6AD8" w:rsidRDefault="00BA6AD8" w:rsidP="00BA6AD8"/>
    <w:p w14:paraId="39AAF0E1" w14:textId="77777777" w:rsidR="00BA6AD8" w:rsidRDefault="00BA6AD8" w:rsidP="00BA6AD8"/>
    <w:p w14:paraId="6D67C58B" w14:textId="77777777" w:rsidR="00BA6AD8" w:rsidRDefault="00BA6AD8" w:rsidP="00BA6AD8"/>
    <w:p w14:paraId="5B2204D9" w14:textId="79679B32" w:rsidR="00BA6AD8" w:rsidRDefault="00EB0768" w:rsidP="00544450">
      <w:pPr>
        <w:pStyle w:val="Titre2"/>
        <w:numPr>
          <w:ilvl w:val="0"/>
          <w:numId w:val="16"/>
        </w:numPr>
      </w:pPr>
      <w:bookmarkStart w:id="0" w:name="_Toc185511021"/>
      <w:r w:rsidRPr="00BA6AD8">
        <w:t>L’option pour l’indivision</w:t>
      </w:r>
      <w:bookmarkEnd w:id="0"/>
    </w:p>
    <w:p w14:paraId="16B9BFBB" w14:textId="77777777" w:rsidR="00BA6AD8" w:rsidRDefault="00BA6AD8" w:rsidP="00BA6AD8">
      <w:pPr>
        <w:pStyle w:val="CGPC-elearning"/>
        <w:rPr>
          <w:rFonts w:eastAsiaTheme="majorEastAsia"/>
          <w:color w:val="3A5D9C"/>
          <w:sz w:val="48"/>
          <w:szCs w:val="26"/>
          <w:bdr w:val="none" w:sz="0" w:space="0" w:color="auto" w:frame="1"/>
        </w:rPr>
      </w:pPr>
      <w:r>
        <w:br w:type="page"/>
      </w:r>
    </w:p>
    <w:p w14:paraId="6EB10BA5" w14:textId="7D76E5F3" w:rsidR="00BA6AD8" w:rsidRDefault="00BA6AD8" w:rsidP="00BA6AD8">
      <w:pPr>
        <w:pStyle w:val="CGPC-elearning"/>
        <w:jc w:val="center"/>
        <w:rPr>
          <w:rFonts w:eastAsiaTheme="majorEastAsia"/>
          <w:color w:val="3A5D9C"/>
          <w:sz w:val="44"/>
          <w:szCs w:val="26"/>
          <w:bdr w:val="none" w:sz="0" w:space="0" w:color="auto" w:frame="1"/>
        </w:rPr>
      </w:pPr>
      <w:r w:rsidRPr="00EB0768">
        <w:rPr>
          <w:noProof/>
          <w:lang w:eastAsia="fr-FR"/>
        </w:rPr>
        <w:lastRenderedPageBreak/>
        <w:drawing>
          <wp:inline distT="0" distB="0" distL="0" distR="0" wp14:anchorId="687DD844" wp14:editId="53CC2E25">
            <wp:extent cx="10625455" cy="7968615"/>
            <wp:effectExtent l="533400" t="457200" r="804545" b="794385"/>
            <wp:docPr id="250598090" name="Image 2" descr="Une image contenant texte, fournitures de bureau, écriture manuscrite, papeteri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598090" name="Image 2" descr="Une image contenant texte, fournitures de bureau, écriture manuscrite, papeterie&#10;&#10;Description générée automatiquem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625455" cy="7968615"/>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r>
        <w:br w:type="page"/>
      </w:r>
    </w:p>
    <w:p w14:paraId="051D8F13" w14:textId="5011D140" w:rsidR="00372A1A" w:rsidRDefault="00372A1A" w:rsidP="00372A1A">
      <w:pPr>
        <w:pStyle w:val="Titre3"/>
      </w:pPr>
      <w:bookmarkStart w:id="1" w:name="_Toc185511022"/>
      <w:r>
        <w:lastRenderedPageBreak/>
        <w:t xml:space="preserve">Contenu et conséquences de l’option pour les </w:t>
      </w:r>
      <w:proofErr w:type="spellStart"/>
      <w:r>
        <w:t>PACsés</w:t>
      </w:r>
      <w:bookmarkEnd w:id="1"/>
      <w:proofErr w:type="spellEnd"/>
    </w:p>
    <w:p w14:paraId="713FEA99" w14:textId="77777777" w:rsidR="00372A1A" w:rsidRPr="00372A1A" w:rsidRDefault="00372A1A" w:rsidP="00372A1A">
      <w:pPr>
        <w:rPr>
          <w:lang w:eastAsia="fr-FR"/>
        </w:rPr>
      </w:pPr>
    </w:p>
    <w:p w14:paraId="752A7E8C" w14:textId="1C5D76D4" w:rsidR="00BA5379" w:rsidRDefault="00EB0768" w:rsidP="00BA5379">
      <w:pPr>
        <w:pStyle w:val="CGPC-elearning"/>
      </w:pPr>
      <w:r w:rsidRPr="00EB0768">
        <w:t>Les partenaires peuvent, en rédigeant la convention, </w:t>
      </w:r>
      <w:r w:rsidRPr="00EB0768">
        <w:rPr>
          <w:rStyle w:val="lev"/>
          <w:b w:val="0"/>
          <w:bCs/>
        </w:rPr>
        <w:t>opter pour un régime d’indivision</w:t>
      </w:r>
      <w:r w:rsidRPr="00EB0768">
        <w:t xml:space="preserve"> s’ils le souhaitent. </w:t>
      </w:r>
    </w:p>
    <w:p w14:paraId="4320DA77" w14:textId="60F83563" w:rsidR="00EB0768" w:rsidRPr="00EB0768" w:rsidRDefault="00EB0768" w:rsidP="00BA5379">
      <w:pPr>
        <w:pStyle w:val="CGPC-elearning"/>
      </w:pPr>
      <w:r w:rsidRPr="00EB0768">
        <w:t xml:space="preserve">Dans ce cas, les biens qu’ils acquièrent durant le </w:t>
      </w:r>
      <w:r w:rsidR="00BA5379">
        <w:t>PACS</w:t>
      </w:r>
      <w:r w:rsidRPr="00EB0768">
        <w:t xml:space="preserve">, ensemble ou séparément, sont </w:t>
      </w:r>
      <w:r w:rsidRPr="00372A1A">
        <w:rPr>
          <w:b/>
          <w:color w:val="525252" w:themeColor="accent3" w:themeShade="80"/>
        </w:rPr>
        <w:t>réputés indivis pour moitié, sauf exceptions</w:t>
      </w:r>
      <w:r w:rsidRPr="00372A1A">
        <w:rPr>
          <w:color w:val="525252" w:themeColor="accent3" w:themeShade="80"/>
        </w:rPr>
        <w:t xml:space="preserve"> </w:t>
      </w:r>
      <w:r w:rsidRPr="00EB0768">
        <w:t>(biens personnels, biens créés au cours du pacs, etc.).</w:t>
      </w:r>
    </w:p>
    <w:p w14:paraId="5E69D4B4" w14:textId="77777777" w:rsidR="00EB0768" w:rsidRPr="00EB0768" w:rsidRDefault="00EB0768" w:rsidP="00BA5379">
      <w:pPr>
        <w:pStyle w:val="CGPC-elearning"/>
      </w:pPr>
      <w:r w:rsidRPr="00EB0768">
        <w:t>S’agissant de la gestion de l’indivision, à défaut de disposition contraire, les pouvoirs des partenaires sont similaires à ceux des époux mariés sous le régime de la communauté (gestion concurrente des biens) : chaque partenaire est gérant de l’indivision.</w:t>
      </w:r>
    </w:p>
    <w:p w14:paraId="1D11F68D" w14:textId="75CB95B9" w:rsidR="00EB0768" w:rsidRPr="00EB0768" w:rsidRDefault="00EB0768" w:rsidP="00BA5379">
      <w:pPr>
        <w:pStyle w:val="CGPC-elearning"/>
      </w:pPr>
      <w:r w:rsidRPr="00EB0768">
        <w:t>Les partenaires ayant opté pour le régime de l’indivision peuvent en aménager les règles de gestion par une convention d’indivision dans les conditions énoncées aux </w:t>
      </w:r>
      <w:hyperlink r:id="rId12" w:history="1">
        <w:r w:rsidRPr="00EB0768">
          <w:rPr>
            <w:rStyle w:val="Lienhypertexte"/>
            <w:color w:val="auto"/>
            <w:u w:val="none"/>
          </w:rPr>
          <w:t>articles 1873-1 à 1873-15</w:t>
        </w:r>
      </w:hyperlink>
      <w:r w:rsidRPr="00EB0768">
        <w:t xml:space="preserve"> du Code civil. Sauf option contraire, cette convention cesse de produire ses effets à la dissolution du </w:t>
      </w:r>
      <w:r w:rsidR="00BA5379">
        <w:t>PACS</w:t>
      </w:r>
      <w:r w:rsidRPr="00EB0768">
        <w:t>.</w:t>
      </w:r>
    </w:p>
    <w:p w14:paraId="552C4E0C" w14:textId="1E3BBF66" w:rsidR="00EB0768" w:rsidRPr="00EB0768" w:rsidRDefault="00EB0768" w:rsidP="00BA5379">
      <w:pPr>
        <w:pStyle w:val="CGPC-elearning"/>
      </w:pPr>
      <w:r w:rsidRPr="00EB0768">
        <w:t>En présence de partenaires aux revenus inégaux, l’option pour l’indivision présente un avantage pour le partenaire ayant les revenus moindres. Il deviendra en effet propriétaire de la moitié des biens acquis</w:t>
      </w:r>
      <w:r w:rsidR="00BA5379">
        <w:t>,</w:t>
      </w:r>
      <w:r w:rsidRPr="00EB0768">
        <w:t xml:space="preserve"> dont le financement aura été, pour l’essentiel, assuré par l’autre membre du couple.</w:t>
      </w:r>
    </w:p>
    <w:p w14:paraId="793C80D7" w14:textId="3C17D69C" w:rsidR="00EB0768" w:rsidRPr="00EB0768" w:rsidRDefault="00BA5379" w:rsidP="00BA5379">
      <w:pPr>
        <w:pStyle w:val="Titre3"/>
        <w:rPr>
          <w:sz w:val="36"/>
          <w:szCs w:val="36"/>
        </w:rPr>
      </w:pPr>
      <w:bookmarkStart w:id="2" w:name="_Toc185511023"/>
      <w:r>
        <w:t xml:space="preserve">Les biens </w:t>
      </w:r>
      <w:r w:rsidR="00372A1A">
        <w:t xml:space="preserve">restant </w:t>
      </w:r>
      <w:r>
        <w:t>p</w:t>
      </w:r>
      <w:r w:rsidR="00EB0768">
        <w:t>ropriété exclusive</w:t>
      </w:r>
      <w:r>
        <w:t xml:space="preserve"> de chaque membre</w:t>
      </w:r>
      <w:bookmarkEnd w:id="2"/>
    </w:p>
    <w:p w14:paraId="0B804454" w14:textId="77777777" w:rsidR="00EB0768" w:rsidRDefault="00EB0768" w:rsidP="00EB0768">
      <w:pPr>
        <w:rPr>
          <w:rFonts w:cs="Open Sans"/>
          <w:color w:val="666666"/>
          <w:sz w:val="21"/>
          <w:szCs w:val="21"/>
        </w:rPr>
      </w:pPr>
    </w:p>
    <w:p w14:paraId="63E87C82" w14:textId="2127B610" w:rsidR="00EB0768" w:rsidRPr="00EB0768" w:rsidRDefault="00EB0768" w:rsidP="00BA5379">
      <w:pPr>
        <w:pStyle w:val="CGPC-elearning"/>
        <w:rPr>
          <w:color w:val="3A5D9C"/>
          <w:sz w:val="36"/>
        </w:rPr>
      </w:pPr>
      <w:r w:rsidRPr="00EB0768">
        <w:t>Même en indivision, certains biens demeurent la propriété exclusive de chacun des membres du couple :</w:t>
      </w:r>
    </w:p>
    <w:p w14:paraId="5D3FD72C" w14:textId="77777777" w:rsidR="00BA5379" w:rsidRDefault="00BA5379" w:rsidP="00BA5379">
      <w:pPr>
        <w:pStyle w:val="CGPC-elearning"/>
      </w:pPr>
      <w:r>
        <w:t>- L</w:t>
      </w:r>
      <w:r w:rsidR="00EB0768">
        <w:t>es deniers reçus par les partenaires non remployés à l’acquisition d’un bien ;</w:t>
      </w:r>
    </w:p>
    <w:p w14:paraId="5D02C984" w14:textId="042DD348" w:rsidR="00EB0768" w:rsidRDefault="00BA5379" w:rsidP="00BA5379">
      <w:pPr>
        <w:pStyle w:val="CGPC-elearning"/>
      </w:pPr>
      <w:r>
        <w:t>- L</w:t>
      </w:r>
      <w:r w:rsidR="00EB0768">
        <w:t>es biens créés et leurs accessoires ;</w:t>
      </w:r>
    </w:p>
    <w:p w14:paraId="4EF9BD92" w14:textId="7B924EC6" w:rsidR="00EB0768" w:rsidRDefault="00BA5379" w:rsidP="00BA5379">
      <w:pPr>
        <w:pStyle w:val="CGPC-elearning"/>
      </w:pPr>
      <w:r>
        <w:t>- L</w:t>
      </w:r>
      <w:r w:rsidR="00EB0768">
        <w:t>es biens à caractère personnel (vêtements…) ;</w:t>
      </w:r>
    </w:p>
    <w:p w14:paraId="5DEA641A" w14:textId="758A5D5A" w:rsidR="00EB0768" w:rsidRDefault="00BA5379" w:rsidP="00BA5379">
      <w:pPr>
        <w:pStyle w:val="CGPC-elearning"/>
      </w:pPr>
      <w:r>
        <w:t>- L</w:t>
      </w:r>
      <w:r w:rsidR="00EB0768">
        <w:t xml:space="preserve">es biens acquis au moyen de deniers détenus antérieurement à la convention de </w:t>
      </w:r>
      <w:r>
        <w:t>PACS</w:t>
      </w:r>
      <w:r w:rsidR="00EB0768">
        <w:t xml:space="preserve"> ;</w:t>
      </w:r>
    </w:p>
    <w:p w14:paraId="040F2007" w14:textId="32326061" w:rsidR="00EB0768" w:rsidRDefault="00BA5379" w:rsidP="00BA5379">
      <w:pPr>
        <w:pStyle w:val="CGPC-elearning"/>
      </w:pPr>
      <w:r>
        <w:t>- L</w:t>
      </w:r>
      <w:r w:rsidR="00EB0768">
        <w:t>es biens acquis au moyen de deniers reçus par donation ou succession ;</w:t>
      </w:r>
    </w:p>
    <w:p w14:paraId="534C5335" w14:textId="3D47DD47" w:rsidR="00EB0768" w:rsidRDefault="00BA5379" w:rsidP="00BA5379">
      <w:pPr>
        <w:pStyle w:val="CGPC-elearning"/>
      </w:pPr>
      <w:r>
        <w:t>- L</w:t>
      </w:r>
      <w:r w:rsidR="00EB0768">
        <w:t>es biens acquis par donation ou succession.</w:t>
      </w:r>
    </w:p>
    <w:p w14:paraId="0900BB9F" w14:textId="77777777" w:rsidR="00BA5379" w:rsidRDefault="00BA5379" w:rsidP="00BA5379">
      <w:pPr>
        <w:pStyle w:val="CGPC-elearning"/>
      </w:pPr>
    </w:p>
    <w:p w14:paraId="2C6390F4" w14:textId="4564B558" w:rsidR="00BA6AD8" w:rsidRDefault="00EB0768" w:rsidP="00BA5379">
      <w:pPr>
        <w:pStyle w:val="CGPC-elearning"/>
      </w:pPr>
      <w:r>
        <w:t>L’emploi de deniers fait l’objet d’une mention dans l’acte d’acquisition. À défaut, le bien est réputé indivis par moitié et ne donne lieu qu’à une créance entre partenaires.</w:t>
      </w:r>
    </w:p>
    <w:p w14:paraId="438DC9AF" w14:textId="77777777" w:rsidR="00BA6AD8" w:rsidRDefault="00BA6AD8" w:rsidP="00BA6AD8">
      <w:pPr>
        <w:pStyle w:val="CGPC-elearning"/>
      </w:pPr>
      <w:r>
        <w:br w:type="page"/>
      </w:r>
    </w:p>
    <w:p w14:paraId="3361E67F" w14:textId="06E7D426" w:rsidR="00EB0768" w:rsidRPr="00372A1A" w:rsidRDefault="00372A1A" w:rsidP="00372A1A">
      <w:pPr>
        <w:pStyle w:val="Titre3"/>
      </w:pPr>
      <w:bookmarkStart w:id="3" w:name="_Toc185511024"/>
      <w:r w:rsidRPr="00372A1A">
        <w:rPr>
          <w:rStyle w:val="lev"/>
          <w:b/>
          <w:bCs/>
        </w:rPr>
        <w:lastRenderedPageBreak/>
        <w:t>La gestion des biens en</w:t>
      </w:r>
      <w:r w:rsidR="00EB0768" w:rsidRPr="00372A1A">
        <w:rPr>
          <w:rStyle w:val="lev"/>
          <w:b/>
          <w:bCs/>
        </w:rPr>
        <w:t xml:space="preserve"> régime de l’indivision</w:t>
      </w:r>
      <w:bookmarkEnd w:id="3"/>
    </w:p>
    <w:p w14:paraId="48361B4C" w14:textId="77777777" w:rsidR="00372A1A" w:rsidRDefault="00372A1A" w:rsidP="00BA5379">
      <w:pPr>
        <w:pStyle w:val="CGPC-elearning"/>
      </w:pPr>
    </w:p>
    <w:p w14:paraId="5208DFBE" w14:textId="77777777" w:rsidR="00BA6AD8" w:rsidRDefault="00BA6AD8" w:rsidP="00BA6AD8">
      <w:pPr>
        <w:pStyle w:val="CGPC-elearning"/>
        <w:jc w:val="left"/>
        <w:sectPr w:rsidR="00BA6AD8" w:rsidSect="009C4986">
          <w:headerReference w:type="default" r:id="rId13"/>
          <w:footerReference w:type="default" r:id="rId14"/>
          <w:pgSz w:w="23811" w:h="16838" w:orient="landscape" w:code="8"/>
          <w:pgMar w:top="1440" w:right="1440" w:bottom="1440" w:left="1440" w:header="720" w:footer="720" w:gutter="0"/>
          <w:pgNumType w:start="0"/>
          <w:cols w:space="720"/>
          <w:titlePg/>
          <w:docGrid w:linePitch="360"/>
        </w:sectPr>
      </w:pPr>
    </w:p>
    <w:p w14:paraId="031280D6" w14:textId="77777777" w:rsidR="00372A1A" w:rsidRDefault="00EB0768" w:rsidP="00BA6AD8">
      <w:pPr>
        <w:pStyle w:val="CGPC-elearning"/>
        <w:jc w:val="left"/>
      </w:pPr>
      <w:r>
        <w:t xml:space="preserve">Lorsqu’un bien est détenu par deux propriétaires ou plus, nommés « indivisaires », on dit qu’il existe une indivision. Chacun détient une quote-part du bien, par exemple un quart, la moitié… </w:t>
      </w:r>
      <w:r w:rsidR="00372A1A">
        <w:br/>
      </w:r>
      <w:r>
        <w:t xml:space="preserve">Les principales indivisions sont les indivisions successorales (consécutive à un décès), les indivisions </w:t>
      </w:r>
      <w:r w:rsidR="00372A1A">
        <w:t>post-communautaires</w:t>
      </w:r>
      <w:r>
        <w:t xml:space="preserve"> (qui succèdent à la communauté ayant existé entre deux époux)</w:t>
      </w:r>
      <w:r w:rsidR="00372A1A">
        <w:t xml:space="preserve"> et</w:t>
      </w:r>
      <w:r>
        <w:t xml:space="preserve"> les indivisions entre époux mariés sous le régime de la séparation de biens ou le régime de la participation aux acquêts. </w:t>
      </w:r>
    </w:p>
    <w:p w14:paraId="4DD47106" w14:textId="2DDB27EE" w:rsidR="00EB0768" w:rsidRDefault="00EB0768" w:rsidP="00BA6AD8">
      <w:pPr>
        <w:pStyle w:val="CGPC-elearning"/>
        <w:jc w:val="left"/>
      </w:pPr>
      <w:r>
        <w:t xml:space="preserve">L’indivision peut également être choisie </w:t>
      </w:r>
      <w:r w:rsidR="00F61C83">
        <w:t xml:space="preserve">lors de l’achat d’un bien immobilier, </w:t>
      </w:r>
      <w:r>
        <w:t xml:space="preserve">par des concubins ou des partenaires </w:t>
      </w:r>
      <w:proofErr w:type="spellStart"/>
      <w:r w:rsidR="00372A1A">
        <w:t>PAC</w:t>
      </w:r>
      <w:r>
        <w:t>sés</w:t>
      </w:r>
      <w:proofErr w:type="spellEnd"/>
      <w:r w:rsidR="00F61C83">
        <w:t>.</w:t>
      </w:r>
    </w:p>
    <w:p w14:paraId="6A00D9AE" w14:textId="77777777" w:rsidR="00EB0768" w:rsidRDefault="00EB0768" w:rsidP="00BA6AD8">
      <w:pPr>
        <w:pStyle w:val="CGPC-elearning"/>
        <w:jc w:val="left"/>
      </w:pPr>
      <w:r>
        <w:t xml:space="preserve">Un indivisaire peut décider seul </w:t>
      </w:r>
      <w:proofErr w:type="gramStart"/>
      <w:r>
        <w:t>de faire</w:t>
      </w:r>
      <w:proofErr w:type="gramEnd"/>
      <w:r>
        <w:t xml:space="preserve"> des travaux de conservation sans lesquels le bien serait en péril : travaux de réparation d’une toiture en passe de s’effondrer par exemple.</w:t>
      </w:r>
    </w:p>
    <w:p w14:paraId="3DABD4A2" w14:textId="36CC20C4" w:rsidR="00EB0768" w:rsidRDefault="00EB0768" w:rsidP="00BA5379">
      <w:pPr>
        <w:pStyle w:val="CGPC-elearning"/>
      </w:pPr>
      <w:r>
        <w:t>Les actes d’administration</w:t>
      </w:r>
      <w:r w:rsidR="00372A1A">
        <w:t xml:space="preserve"> tels que </w:t>
      </w:r>
      <w:r>
        <w:t>conclure un bail d’habitation, réaliser des travaux d’entretien</w:t>
      </w:r>
      <w:r w:rsidR="00372A1A">
        <w:t xml:space="preserve"> ou</w:t>
      </w:r>
      <w:r>
        <w:t xml:space="preserve"> consentir une convention d’occupation précaire</w:t>
      </w:r>
      <w:r w:rsidR="00372A1A">
        <w:t xml:space="preserve">, peuvent être décidés à la majorité des deux tiers des droits indivis. </w:t>
      </w:r>
    </w:p>
    <w:p w14:paraId="04091E53" w14:textId="77777777" w:rsidR="00EB0768" w:rsidRDefault="00EB0768" w:rsidP="00BA5379">
      <w:pPr>
        <w:pStyle w:val="CGPC-elearning"/>
      </w:pPr>
      <w:r>
        <w:t>L’unanimité est requise pour les actes de disposition (vente, hypothèque, bail commercial ou rural…) ainsi que pour la désignation d’un mandataire.</w:t>
      </w:r>
    </w:p>
    <w:p w14:paraId="6CDD16F7" w14:textId="77777777" w:rsidR="00EB0768" w:rsidRDefault="00EB0768" w:rsidP="00BA5379">
      <w:pPr>
        <w:pStyle w:val="CGPC-elearning"/>
      </w:pPr>
      <w:r>
        <w:t>Toutefois, pour éviter les blocages en matière de vente, les indivisaires disposant d’une majorité des deux tiers des droits indivis peuvent s’adresser à un notaire pour signifier aux autres indivisaires leur décision de vendre le bien. En cas de refus ou de silence, c’est le juge du tribunal judiciaire qui autorisera cette vente.</w:t>
      </w:r>
    </w:p>
    <w:p w14:paraId="78C6E023" w14:textId="2E584552" w:rsidR="00EB0768" w:rsidRDefault="00EB0768" w:rsidP="00BA5379">
      <w:pPr>
        <w:pStyle w:val="CGPC-elearning"/>
      </w:pPr>
      <w:r>
        <w:t xml:space="preserve">Chacun participe aux dépenses concernant le bien indivis </w:t>
      </w:r>
      <w:r w:rsidR="00372A1A">
        <w:t xml:space="preserve">(travaux, impôts et taxes…) </w:t>
      </w:r>
      <w:r>
        <w:t>à hauteur de sa quote-part.</w:t>
      </w:r>
    </w:p>
    <w:p w14:paraId="7C2A7988" w14:textId="77777777" w:rsidR="00BA5379" w:rsidRDefault="00EB0768" w:rsidP="00BA5379">
      <w:pPr>
        <w:pStyle w:val="CGPC-elearning"/>
      </w:pPr>
      <w:r>
        <w:t>L’article 815-1 du Code civil relatif au régime légal de l’indivision précise que « Nul ne peut être contraint à demeurer dans l’indivision et le partage peut toujours être provoqué, à moins qu’il n’y ait été sursis par jugement ou convention ».</w:t>
      </w:r>
    </w:p>
    <w:p w14:paraId="009199D4" w14:textId="09139F1C" w:rsidR="00EB0768" w:rsidRDefault="00EB0768" w:rsidP="00BA5379">
      <w:pPr>
        <w:pStyle w:val="CGPC-elearning"/>
      </w:pPr>
      <w:r>
        <w:t>Le partage peut être provoqué à tout moment. Un indivisaire peut aussi vendre sa quote-part du bien ; les coïndivisaires disposent alors d’un droit de priorité (droit de préemption) pour acquérir cette quote-part.</w:t>
      </w:r>
    </w:p>
    <w:p w14:paraId="6CC6F7E9" w14:textId="77777777" w:rsidR="00EB0768" w:rsidRDefault="00EB0768" w:rsidP="00BA5379">
      <w:pPr>
        <w:pStyle w:val="CGPC-elearning"/>
      </w:pPr>
      <w:r>
        <w:t>Les règles qui fixent le régime légal de l’indivision ne sont pas d’ordre public : on peut y déroger par convention.</w:t>
      </w:r>
    </w:p>
    <w:p w14:paraId="282191B2" w14:textId="77777777" w:rsidR="00EB0768" w:rsidRDefault="00EB0768" w:rsidP="00BA5379">
      <w:pPr>
        <w:pStyle w:val="CGPC-elearning"/>
      </w:pPr>
      <w:r>
        <w:t>Certains indivisaires établissent donc une convention d’indivision pour adopter, à l’unanimité, de nouvelles règles du jeu. On peut ainsi imposer le maintien de l’indivision pour une certaine durée ou encore organiser la gestion des biens indivis, notamment en désignant un gérant qui pourra accomplir seul certains actes. La convention peut aussi fixer l’indemnité d’occupation due par l’indivisaire qui occupe le logement.</w:t>
      </w:r>
    </w:p>
    <w:p w14:paraId="2ADF15D5" w14:textId="77777777" w:rsidR="00EB0768" w:rsidRDefault="00EB0768" w:rsidP="00BA5379">
      <w:pPr>
        <w:pStyle w:val="CGPC-elearning"/>
      </w:pPr>
      <w:r>
        <w:t>Si elle concerne un bien immobilier, la convention doit être établie par acte authentique.</w:t>
      </w:r>
    </w:p>
    <w:p w14:paraId="4B5560BF" w14:textId="77777777" w:rsidR="00EB0768" w:rsidRDefault="00EB0768" w:rsidP="00BA5379">
      <w:pPr>
        <w:pStyle w:val="CGPC-elearning"/>
      </w:pPr>
      <w:r>
        <w:t>Sur le plan fiscal, durant l’indivision, les indivisaires sont en quelque sorte « copropriétaires » du bien. Chaque d’entre eux est donc imposé sur sa quote-part de revenus, selon les règles fiscales de droit commun.</w:t>
      </w:r>
    </w:p>
    <w:p w14:paraId="397C5903" w14:textId="726FA287" w:rsidR="00BA6AD8" w:rsidRDefault="00BA6AD8">
      <w:pPr>
        <w:jc w:val="left"/>
        <w:rPr>
          <w:rFonts w:cs="Open Sans"/>
          <w:bCs/>
          <w:kern w:val="2"/>
          <w:szCs w:val="36"/>
          <w14:ligatures w14:val="standardContextual"/>
        </w:rPr>
      </w:pPr>
      <w:r>
        <w:br w:type="page"/>
      </w:r>
    </w:p>
    <w:p w14:paraId="3FBAF819" w14:textId="77777777" w:rsidR="00BA6AD8" w:rsidRDefault="00BA6AD8" w:rsidP="00BA5379">
      <w:pPr>
        <w:pStyle w:val="CGPC-elearning"/>
        <w:sectPr w:rsidR="00BA6AD8" w:rsidSect="00BA6AD8">
          <w:type w:val="continuous"/>
          <w:pgSz w:w="23811" w:h="16838" w:orient="landscape" w:code="8"/>
          <w:pgMar w:top="1440" w:right="1440" w:bottom="1440" w:left="1440" w:header="720" w:footer="720" w:gutter="0"/>
          <w:pgNumType w:start="0"/>
          <w:cols w:num="2" w:space="720"/>
          <w:titlePg/>
          <w:docGrid w:linePitch="360"/>
        </w:sectPr>
      </w:pPr>
    </w:p>
    <w:p w14:paraId="50CBBB74" w14:textId="1912B2AB" w:rsidR="00BA5379" w:rsidRDefault="000B116D" w:rsidP="00BA5379">
      <w:pPr>
        <w:pStyle w:val="CGPC-elearning"/>
      </w:pPr>
      <w:r>
        <w:rPr>
          <w:noProof/>
        </w:rPr>
        <mc:AlternateContent>
          <mc:Choice Requires="wps">
            <w:drawing>
              <wp:anchor distT="0" distB="0" distL="114300" distR="114300" simplePos="0" relativeHeight="251658752" behindDoc="1" locked="0" layoutInCell="1" allowOverlap="1" wp14:anchorId="7D5CFF3E" wp14:editId="510A409E">
                <wp:simplePos x="0" y="0"/>
                <wp:positionH relativeFrom="column">
                  <wp:posOffset>-914400</wp:posOffset>
                </wp:positionH>
                <wp:positionV relativeFrom="paragraph">
                  <wp:posOffset>-895350</wp:posOffset>
                </wp:positionV>
                <wp:extent cx="15087600" cy="10763250"/>
                <wp:effectExtent l="0" t="0" r="19050" b="19050"/>
                <wp:wrapNone/>
                <wp:docPr id="1503853931" name="Rectangle 6"/>
                <wp:cNvGraphicFramePr/>
                <a:graphic xmlns:a="http://schemas.openxmlformats.org/drawingml/2006/main">
                  <a:graphicData uri="http://schemas.microsoft.com/office/word/2010/wordprocessingShape">
                    <wps:wsp>
                      <wps:cNvSpPr/>
                      <wps:spPr>
                        <a:xfrm>
                          <a:off x="0" y="0"/>
                          <a:ext cx="15087600" cy="1076325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510829" id="Rectangle 6" o:spid="_x0000_s1026" style="position:absolute;margin-left:-1in;margin-top:-70.5pt;width:1188pt;height:847.5pt;z-index:-25165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nMcewIAAHEFAAAOAAAAZHJzL2Uyb0RvYy54bWysVE1v2zAMvQ/YfxB0X21nTdMFdYqgRYcB&#10;XVusHXpWZakWIImapMTJfv0o2XGCfuww7CJTIvlIPpM8O98YTdbCBwW2ptVRSYmwHBpln2v68+Hq&#10;0yklITLbMA1W1HQrAj1ffPxw1rm5mEALuhGeIIgN887VtI3RzYsi8FYYFo7ACYtKCd6wiFf/XDSe&#10;dYhudDEpy5OiA984D1yEgK+XvZIuMr6UgsdbKYOIRNcUc4v59Pl8SmexOGPzZ89cq/iQBvuHLAxT&#10;FoOOUJcsMrLy6hWUUdxDABmPOJgCpFRc5Bqwmqp8Uc19y5zItSA5wY00hf8Hy2/W9+7OIw2dC/OA&#10;YqpiI71JX8yPbDJZ25EssYmE42M1LU9nJyWSylFZlbOTz5NpJrTYAzgf4lcBhiShph7/R6aJra9D&#10;xKBoujNJ8QJo1VwprfMl9YC40J6sGf49xrmwscruemW+Q9O/z6YlJtFj5bZJLhn5AK3YV5eluNUi&#10;xdD2h5BENVjPJCOPCK+DhpY1on/G2t+JmQETssQqRuw+63ew+9QH++Qqct+OzuXfEuudR48cGWwc&#10;nY2y4N8C0EjlELm3R8oOqEniEzTbO0889FMTHL9S+BuvWYh3zOOY4L/H0Y+3eEgNXU1hkChpwf9+&#10;6z3ZY/eilpIOx66m4deKeUGJ/maxr79Ux8dpTvPleDqb4MUfap4ONXZlLgB7o8Il43gWk33UO1F6&#10;MI+4IZYpKqqY5Ri7pjz63eUi9usAdwwXy2U2w9l0LF7be8cTeGI1tenD5pF5N/RyxEG4gd2IsvmL&#10;lu5tk6eF5SqCVLnf97wOfONc52YddlBaHIf3bLXflIs/AAAA//8DAFBLAwQUAAYACAAAACEAqmTk&#10;aeEAAAAPAQAADwAAAGRycy9kb3ducmV2LnhtbEyPQUvDQBCF74L/YRnBW7tJbEuJ2RQVhIKKGL30&#10;tslON8HsbMhu0/jvHb3o7Q3v8eZ7xW52vZhwDJ0nBekyAYHUeNORVfDx/rjYgghRk9G9J1TwhQF2&#10;5eVFoXPjz/SGUxWt4BIKuVbQxjjkUoamRafD0g9I7B396HTkc7TSjPrM5a6XWZJspNMd8YdWD/jQ&#10;YvNZnZwCeX+wr1VSP79s9k+HsJ+P1dZOSl1fzXe3ICLO8S8MP/iMDiUz1f5EJohewSJdrXhM/FUp&#10;K85k2U3Gqub0es2uLAv5f0f5DQAA//8DAFBLAQItABQABgAIAAAAIQC2gziS/gAAAOEBAAATAAAA&#10;AAAAAAAAAAAAAAAAAABbQ29udGVudF9UeXBlc10ueG1sUEsBAi0AFAAGAAgAAAAhADj9If/WAAAA&#10;lAEAAAsAAAAAAAAAAAAAAAAALwEAAF9yZWxzLy5yZWxzUEsBAi0AFAAGAAgAAAAhAPhScxx7AgAA&#10;cQUAAA4AAAAAAAAAAAAAAAAALgIAAGRycy9lMm9Eb2MueG1sUEsBAi0AFAAGAAgAAAAhAKpk5Gnh&#10;AAAADwEAAA8AAAAAAAAAAAAAAAAA1QQAAGRycy9kb3ducmV2LnhtbFBLBQYAAAAABAAEAPMAAADj&#10;BQAAAAA=&#10;" fillcolor="#2f5496 [2404]" strokecolor="#09101d [484]" strokeweight="1pt"/>
            </w:pict>
          </mc:Fallback>
        </mc:AlternateContent>
      </w:r>
    </w:p>
    <w:p w14:paraId="65E798EF" w14:textId="77777777" w:rsidR="00BA6AD8" w:rsidRDefault="00BA6AD8" w:rsidP="00BA6AD8"/>
    <w:p w14:paraId="1C29B968" w14:textId="77777777" w:rsidR="00BA6AD8" w:rsidRDefault="00BA6AD8" w:rsidP="00BA6AD8"/>
    <w:p w14:paraId="1887A748" w14:textId="77777777" w:rsidR="00BA6AD8" w:rsidRDefault="00BA6AD8" w:rsidP="00BA6AD8"/>
    <w:p w14:paraId="73C770E7" w14:textId="77777777" w:rsidR="00BA6AD8" w:rsidRDefault="00BA6AD8" w:rsidP="00BA6AD8"/>
    <w:p w14:paraId="3DA23061" w14:textId="77777777" w:rsidR="00BA6AD8" w:rsidRDefault="00BA6AD8" w:rsidP="00BA6AD8"/>
    <w:p w14:paraId="7537A68C" w14:textId="77777777" w:rsidR="00BA6AD8" w:rsidRDefault="00BA6AD8" w:rsidP="00BA6AD8"/>
    <w:p w14:paraId="7AA39413" w14:textId="77777777" w:rsidR="00BA6AD8" w:rsidRDefault="00BA6AD8" w:rsidP="00BA6AD8"/>
    <w:p w14:paraId="44C7660A" w14:textId="77777777" w:rsidR="00BA6AD8" w:rsidRDefault="00BA6AD8" w:rsidP="00BA6AD8"/>
    <w:p w14:paraId="5FECEFB3" w14:textId="77777777" w:rsidR="00BA6AD8" w:rsidRDefault="00BA6AD8" w:rsidP="00BA6AD8"/>
    <w:p w14:paraId="256D6D75" w14:textId="30A25D95" w:rsidR="00BA6AD8" w:rsidRPr="00BA6AD8" w:rsidRDefault="00EB0768" w:rsidP="00544450">
      <w:pPr>
        <w:pStyle w:val="Titre2"/>
      </w:pPr>
      <w:bookmarkStart w:id="4" w:name="_Toc185511025"/>
      <w:r w:rsidRPr="00BA6AD8">
        <w:t>Libéralités entre partenaires</w:t>
      </w:r>
      <w:r w:rsidR="00F61C83" w:rsidRPr="00BA6AD8">
        <w:t> :</w:t>
      </w:r>
      <w:r w:rsidRPr="00BA6AD8">
        <w:t xml:space="preserve"> limites civiles et fiscalité</w:t>
      </w:r>
      <w:bookmarkEnd w:id="4"/>
    </w:p>
    <w:p w14:paraId="112E7500" w14:textId="77777777" w:rsidR="00BA6AD8" w:rsidRDefault="00BA6AD8" w:rsidP="00BA6AD8">
      <w:pPr>
        <w:pStyle w:val="CGPC-elearning"/>
        <w:rPr>
          <w:rFonts w:eastAsiaTheme="majorEastAsia"/>
          <w:color w:val="3A5D9C"/>
          <w:sz w:val="48"/>
          <w:szCs w:val="26"/>
          <w:bdr w:val="none" w:sz="0" w:space="0" w:color="auto" w:frame="1"/>
        </w:rPr>
      </w:pPr>
      <w:r>
        <w:br w:type="page"/>
      </w:r>
    </w:p>
    <w:p w14:paraId="720CF4D2" w14:textId="3B7DCEF3" w:rsidR="00EB0768" w:rsidRDefault="00EB0768" w:rsidP="00BA6AD8">
      <w:pPr>
        <w:pStyle w:val="CGPC-elearning"/>
        <w:jc w:val="left"/>
      </w:pPr>
      <w:r>
        <w:lastRenderedPageBreak/>
        <w:t>Sans testament, le partenaire bénéficie seulement d’un droit temporaire au logement (jouissance gratuite pendant un an)</w:t>
      </w:r>
      <w:r w:rsidR="00F61C83">
        <w:t xml:space="preserve"> en cas de décès du partenaire</w:t>
      </w:r>
      <w:r>
        <w:t>. Il n’est pas héritier en l’absence d’enfant, comme peut l’être le conjoint survivant.</w:t>
      </w:r>
    </w:p>
    <w:p w14:paraId="1389158E" w14:textId="77777777" w:rsidR="00BA6AD8" w:rsidRDefault="00BA6AD8" w:rsidP="00BA6AD8">
      <w:pPr>
        <w:pStyle w:val="CGPC-elearning"/>
        <w:jc w:val="left"/>
      </w:pPr>
    </w:p>
    <w:p w14:paraId="3B3B7BE9" w14:textId="77777777" w:rsidR="00BA6AD8" w:rsidRDefault="00EB0768" w:rsidP="00BA6AD8">
      <w:pPr>
        <w:pStyle w:val="CGPC-elearning"/>
        <w:jc w:val="left"/>
      </w:pPr>
      <w:r>
        <w:t xml:space="preserve">Un testament peut seulement </w:t>
      </w:r>
      <w:r w:rsidR="00F61C83">
        <w:t>attribuer la quotité disponible</w:t>
      </w:r>
      <w:r>
        <w:t xml:space="preserve"> et ne permet pas de léguer l’usufruit sur la totalité des biens en présence d’enfants. Leur part réservataire doit être en pleine propriété. </w:t>
      </w:r>
    </w:p>
    <w:p w14:paraId="76191BE4" w14:textId="0D0CB2FE" w:rsidR="00EB0768" w:rsidRDefault="00F61C83" w:rsidP="00BA6AD8">
      <w:pPr>
        <w:pStyle w:val="CGPC-elearning"/>
        <w:jc w:val="left"/>
      </w:pPr>
      <w:r>
        <w:br/>
      </w:r>
      <w:r w:rsidR="00EB0768">
        <w:t>Les legs sont exonérés de droits de mutation à titre gratuit (droits de succession).</w:t>
      </w:r>
    </w:p>
    <w:p w14:paraId="43C0A5F6" w14:textId="77777777" w:rsidR="00BA6AD8" w:rsidRDefault="00BA6AD8" w:rsidP="00BA6AD8">
      <w:pPr>
        <w:pStyle w:val="CGPC-elearning"/>
        <w:jc w:val="left"/>
      </w:pPr>
    </w:p>
    <w:p w14:paraId="3C4FE08E" w14:textId="77777777" w:rsidR="00EB0768" w:rsidRDefault="00EB0768" w:rsidP="00BA6AD8">
      <w:pPr>
        <w:pStyle w:val="CGPC-elearning"/>
        <w:jc w:val="left"/>
      </w:pPr>
      <w:r>
        <w:t>Les donations bénéficient du même abattement (80 724 €) et du même barème (de 5 à 45 %) que pour les donations entre époux. Elles sont réductibles en présence d’héritiers réservataires (si elles excèdent la quotité disponible, le partenaire survivant devra verser aux enfants du défunt une somme d’argent appelée indemnité de réduction).</w:t>
      </w:r>
    </w:p>
    <w:p w14:paraId="61C5E8ED" w14:textId="77777777" w:rsidR="00BA6AD8" w:rsidRDefault="00BA6AD8" w:rsidP="00BA6AD8">
      <w:pPr>
        <w:pStyle w:val="CGPC-elearning"/>
        <w:jc w:val="left"/>
      </w:pPr>
    </w:p>
    <w:p w14:paraId="5F66829F" w14:textId="205A42F5" w:rsidR="00EB0768" w:rsidRDefault="00EB0768" w:rsidP="00BA6AD8">
      <w:pPr>
        <w:pStyle w:val="CGPC-elearning"/>
        <w:jc w:val="left"/>
      </w:pPr>
      <w:r>
        <w:t xml:space="preserve">La transmission de capitaux via l’assurance-vie bénéficie d’une exonération fiscale. La désignation du bénéficiaire peut se faire sur la seule qualité de « partenaire de </w:t>
      </w:r>
      <w:r w:rsidR="00F61C83">
        <w:t>PACS</w:t>
      </w:r>
      <w:r>
        <w:t> ».</w:t>
      </w:r>
    </w:p>
    <w:p w14:paraId="3DB2A321" w14:textId="4306C706" w:rsidR="00FD73FA" w:rsidRPr="00B0501B" w:rsidRDefault="00FD73FA" w:rsidP="00B0501B"/>
    <w:sectPr w:rsidR="00FD73FA" w:rsidRPr="00B0501B" w:rsidSect="00BA6AD8">
      <w:type w:val="continuous"/>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393638" w14:textId="77777777" w:rsidR="00514801" w:rsidRDefault="00514801" w:rsidP="002020F9">
      <w:pPr>
        <w:spacing w:after="0" w:line="240" w:lineRule="auto"/>
      </w:pPr>
      <w:r>
        <w:separator/>
      </w:r>
    </w:p>
  </w:endnote>
  <w:endnote w:type="continuationSeparator" w:id="0">
    <w:p w14:paraId="69132E5D" w14:textId="77777777" w:rsidR="00514801" w:rsidRDefault="00514801"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36F743ED-EBDE-4A6E-9E8A-D3FD8C0E7528}"/>
    <w:embedBold r:id="rId2" w:fontKey="{9A33BCB7-4519-4D7E-A63D-BAF986CECC51}"/>
    <w:embedItalic r:id="rId3" w:fontKey="{2436B930-C99A-41B9-B674-5E62A0769681}"/>
    <w:embedBoldItalic r:id="rId4" w:fontKey="{7365B46F-8D43-4CA2-8C59-43FCD955536E}"/>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1AA6359C-765D-411B-B555-49040A37D95C}"/>
    <w:embedBold r:id="rId6" w:fontKey="{30463BD2-C902-49EB-99B7-2060A797B827}"/>
    <w:embedItalic r:id="rId7" w:fontKey="{A4527637-DEA4-49FD-8828-1C0B5D66ABB7}"/>
    <w:embedBoldItalic r:id="rId8" w:fontKey="{5429D712-643D-46DC-9056-F71E72949962}"/>
  </w:font>
  <w:font w:name="Calibri Light">
    <w:panose1 w:val="020F0302020204030204"/>
    <w:charset w:val="00"/>
    <w:family w:val="swiss"/>
    <w:pitch w:val="variable"/>
    <w:sig w:usb0="E4002EFF" w:usb1="C200247B" w:usb2="00000009" w:usb3="00000000" w:csb0="000001FF" w:csb1="00000000"/>
    <w:embedRegular r:id="rId9" w:fontKey="{0C9EEFF4-2908-4D97-AC49-16B0CFB7785E}"/>
  </w:font>
  <w:font w:name="Tahoma">
    <w:panose1 w:val="020B0604030504040204"/>
    <w:charset w:val="00"/>
    <w:family w:val="swiss"/>
    <w:pitch w:val="variable"/>
    <w:sig w:usb0="E1002EFF" w:usb1="C000605B" w:usb2="00000029" w:usb3="00000000" w:csb0="000101FF" w:csb1="00000000"/>
    <w:embedRegular r:id="rId10" w:fontKey="{4D6E83F0-DEE8-4AFB-9B9D-30B7DA7F02A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A7409" w14:textId="27BA9478" w:rsidR="009E4849" w:rsidRDefault="000B116D">
    <w:pPr>
      <w:pStyle w:val="Pieddepage"/>
    </w:pPr>
    <w:r>
      <w:rPr>
        <w:noProof/>
        <w:color w:val="4472C4" w:themeColor="accent1"/>
      </w:rPr>
      <mc:AlternateContent>
        <mc:Choice Requires="wps">
          <w:drawing>
            <wp:anchor distT="0" distB="0" distL="114300" distR="114300" simplePos="0" relativeHeight="251657216" behindDoc="0" locked="0" layoutInCell="1" allowOverlap="1" wp14:anchorId="7350A96D" wp14:editId="7880A2F8">
              <wp:simplePos x="0" y="0"/>
              <wp:positionH relativeFrom="page">
                <wp:align>center</wp:align>
              </wp:positionH>
              <wp:positionV relativeFrom="page">
                <wp:align>center</wp:align>
              </wp:positionV>
              <wp:extent cx="7364730" cy="9528810"/>
              <wp:effectExtent l="0" t="0" r="26670" b="26670"/>
              <wp:wrapNone/>
              <wp:docPr id="452" name="Rectangle 247"/>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3FB6F971" id="Rectangle 247" o:spid="_x0000_s1026" style="position:absolute;margin-left:0;margin-top:0;width:579.9pt;height:750.3pt;z-index:251657216;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747070 [1614]" strokeweight="1.25pt">
              <w10:wrap anchorx="page" anchory="page"/>
            </v:rect>
          </w:pict>
        </mc:Fallback>
      </mc:AlternateContent>
    </w:r>
    <w:r>
      <w:rPr>
        <w:color w:val="4472C4" w:themeColor="accent1"/>
      </w:rPr>
      <w:t xml:space="preserve"> </w:t>
    </w:r>
    <w:r>
      <w:rPr>
        <w:rFonts w:asciiTheme="majorHAnsi" w:eastAsiaTheme="majorEastAsia" w:hAnsiTheme="majorHAnsi" w:cstheme="majorBidi"/>
        <w:color w:val="4472C4" w:themeColor="accent1"/>
        <w:sz w:val="20"/>
        <w:szCs w:val="20"/>
      </w:rPr>
      <w:t xml:space="preserve">p. </w:t>
    </w:r>
    <w:r>
      <w:rPr>
        <w:rFonts w:asciiTheme="minorHAnsi" w:eastAsiaTheme="minorEastAsia" w:hAnsiTheme="minorHAnsi"/>
        <w:color w:val="4472C4" w:themeColor="accent1"/>
        <w:sz w:val="20"/>
        <w:szCs w:val="20"/>
      </w:rPr>
      <w:fldChar w:fldCharType="begin"/>
    </w:r>
    <w:r>
      <w:rPr>
        <w:color w:val="4472C4" w:themeColor="accent1"/>
        <w:sz w:val="20"/>
        <w:szCs w:val="20"/>
      </w:rPr>
      <w:instrText>PAGE    \* MERGEFORMAT</w:instrText>
    </w:r>
    <w:r>
      <w:rPr>
        <w:rFonts w:asciiTheme="minorHAnsi" w:eastAsiaTheme="minorEastAsia" w:hAnsiTheme="minorHAnsi"/>
        <w:color w:val="4472C4" w:themeColor="accent1"/>
        <w:sz w:val="20"/>
        <w:szCs w:val="20"/>
      </w:rPr>
      <w:fldChar w:fldCharType="separate"/>
    </w:r>
    <w:r>
      <w:rPr>
        <w:rFonts w:asciiTheme="majorHAnsi" w:eastAsiaTheme="majorEastAsia" w:hAnsiTheme="majorHAnsi" w:cstheme="majorBidi"/>
        <w:color w:val="4472C4" w:themeColor="accent1"/>
        <w:sz w:val="20"/>
        <w:szCs w:val="20"/>
      </w:rPr>
      <w:t>2</w:t>
    </w:r>
    <w:r>
      <w:rPr>
        <w:rFonts w:asciiTheme="majorHAnsi" w:eastAsiaTheme="majorEastAsia" w:hAnsiTheme="majorHAnsi" w:cstheme="majorBidi"/>
        <w:color w:val="4472C4" w:themeColor="accent1"/>
        <w:sz w:val="20"/>
        <w:szCs w:val="20"/>
      </w:rPr>
      <w:fldChar w:fldCharType="end"/>
    </w:r>
    <w:r w:rsidR="00205880">
      <w:rPr>
        <w:rFonts w:asciiTheme="majorHAnsi" w:eastAsiaTheme="majorEastAsia" w:hAnsiTheme="majorHAnsi" w:cstheme="majorBidi"/>
        <w:color w:val="4472C4" w:themeColor="accent1"/>
        <w:sz w:val="20"/>
        <w:szCs w:val="20"/>
      </w:rPr>
      <w:t xml:space="preserve"> </w:t>
    </w:r>
    <w:r w:rsidR="00205880" w:rsidRPr="00205880">
      <w:rPr>
        <w:rFonts w:asciiTheme="majorHAnsi" w:eastAsiaTheme="majorEastAsia" w:hAnsiTheme="majorHAnsi" w:cstheme="majorBidi"/>
        <w:color w:val="4472C4" w:themeColor="accent1"/>
        <w:sz w:val="20"/>
        <w:szCs w:val="20"/>
      </w:rPr>
      <w:t>Copyright© CGPC®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64E8FC" w14:textId="77777777" w:rsidR="00514801" w:rsidRDefault="00514801" w:rsidP="002020F9">
      <w:pPr>
        <w:spacing w:after="0" w:line="240" w:lineRule="auto"/>
      </w:pPr>
      <w:r>
        <w:separator/>
      </w:r>
    </w:p>
  </w:footnote>
  <w:footnote w:type="continuationSeparator" w:id="0">
    <w:p w14:paraId="05D8FDF1" w14:textId="77777777" w:rsidR="00514801" w:rsidRDefault="00514801"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A8548E" w14:textId="09F14DB8" w:rsidR="009E4849" w:rsidRDefault="00205880">
    <w:pPr>
      <w:pStyle w:val="En-tte"/>
    </w:pPr>
    <w:r>
      <w:rPr>
        <w:noProof/>
      </w:rPr>
      <mc:AlternateContent>
        <mc:Choice Requires="wps">
          <w:drawing>
            <wp:anchor distT="0" distB="0" distL="118745" distR="118745" simplePos="0" relativeHeight="251659264" behindDoc="1" locked="0" layoutInCell="1" allowOverlap="0" wp14:anchorId="093F459E" wp14:editId="5B5E7399">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1F246B02" w14:textId="213FA532" w:rsidR="00205880" w:rsidRDefault="00544450">
                              <w:pPr>
                                <w:pStyle w:val="En-tte"/>
                                <w:jc w:val="center"/>
                                <w:rPr>
                                  <w:caps/>
                                  <w:color w:val="FFFFFF" w:themeColor="background1"/>
                                </w:rPr>
                              </w:pPr>
                              <w:r>
                                <w:rPr>
                                  <w:caps/>
                                  <w:color w:val="FFFFFF" w:themeColor="background1"/>
                                </w:rPr>
                                <w:t>Chapitre 4 : De la protection du partenaire PACsé</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093F459E" id="Rectangle 200" o:spid="_x0000_s1026" style="position:absolute;left:0;text-align:left;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1F246B02" w14:textId="213FA532" w:rsidR="00205880" w:rsidRDefault="00544450">
                        <w:pPr>
                          <w:pStyle w:val="En-tte"/>
                          <w:jc w:val="center"/>
                          <w:rPr>
                            <w:caps/>
                            <w:color w:val="FFFFFF" w:themeColor="background1"/>
                          </w:rPr>
                        </w:pPr>
                        <w:r>
                          <w:rPr>
                            <w:caps/>
                            <w:color w:val="FFFFFF" w:themeColor="background1"/>
                          </w:rPr>
                          <w:t>Chapitre 4 : De la protection du partenaire PACsé</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8856F1"/>
    <w:multiLevelType w:val="hybridMultilevel"/>
    <w:tmpl w:val="0D84DBE6"/>
    <w:lvl w:ilvl="0" w:tplc="93A815D6">
      <w:start w:val="1"/>
      <w:numFmt w:val="decimal"/>
      <w:pStyle w:val="Titre3"/>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6C54259"/>
    <w:multiLevelType w:val="multilevel"/>
    <w:tmpl w:val="398E6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8A871EC"/>
    <w:multiLevelType w:val="hybridMultilevel"/>
    <w:tmpl w:val="0BDEA2F0"/>
    <w:lvl w:ilvl="0" w:tplc="567063EA">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54305A4"/>
    <w:multiLevelType w:val="multilevel"/>
    <w:tmpl w:val="2CDC6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3E7B24B8"/>
    <w:multiLevelType w:val="hybridMultilevel"/>
    <w:tmpl w:val="2370DC9A"/>
    <w:lvl w:ilvl="0" w:tplc="BA38AAA0">
      <w:start w:val="1"/>
      <w:numFmt w:val="upperLetter"/>
      <w:pStyle w:val="Titre4"/>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5" w15:restartNumberingAfterBreak="0">
    <w:nsid w:val="42382933"/>
    <w:multiLevelType w:val="multilevel"/>
    <w:tmpl w:val="7B3E7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44314407"/>
    <w:multiLevelType w:val="multilevel"/>
    <w:tmpl w:val="416E7CE6"/>
    <w:lvl w:ilvl="0">
      <w:start w:val="1"/>
      <w:numFmt w:val="upperRoman"/>
      <w:pStyle w:val="Titre2"/>
      <w:lvlText w:val="%1."/>
      <w:lvlJc w:val="right"/>
      <w:pPr>
        <w:ind w:left="1530" w:hanging="360"/>
      </w:pPr>
    </w:lvl>
    <w:lvl w:ilvl="1">
      <w:start w:val="1"/>
      <w:numFmt w:val="decimal"/>
      <w:lvlText w:val="%2."/>
      <w:lvlJc w:val="left"/>
      <w:pPr>
        <w:tabs>
          <w:tab w:val="num" w:pos="2250"/>
        </w:tabs>
        <w:ind w:left="2250" w:hanging="720"/>
      </w:pPr>
    </w:lvl>
    <w:lvl w:ilvl="2">
      <w:start w:val="1"/>
      <w:numFmt w:val="decimal"/>
      <w:lvlText w:val="%3."/>
      <w:lvlJc w:val="left"/>
      <w:pPr>
        <w:tabs>
          <w:tab w:val="num" w:pos="2970"/>
        </w:tabs>
        <w:ind w:left="2970" w:hanging="720"/>
      </w:pPr>
    </w:lvl>
    <w:lvl w:ilvl="3">
      <w:start w:val="1"/>
      <w:numFmt w:val="decimal"/>
      <w:lvlText w:val="%4."/>
      <w:lvlJc w:val="left"/>
      <w:pPr>
        <w:tabs>
          <w:tab w:val="num" w:pos="3690"/>
        </w:tabs>
        <w:ind w:left="3690" w:hanging="720"/>
      </w:pPr>
    </w:lvl>
    <w:lvl w:ilvl="4">
      <w:start w:val="1"/>
      <w:numFmt w:val="decimal"/>
      <w:lvlText w:val="%5."/>
      <w:lvlJc w:val="left"/>
      <w:pPr>
        <w:tabs>
          <w:tab w:val="num" w:pos="4410"/>
        </w:tabs>
        <w:ind w:left="4410" w:hanging="720"/>
      </w:pPr>
    </w:lvl>
    <w:lvl w:ilvl="5">
      <w:start w:val="1"/>
      <w:numFmt w:val="decimal"/>
      <w:lvlText w:val="%6."/>
      <w:lvlJc w:val="left"/>
      <w:pPr>
        <w:tabs>
          <w:tab w:val="num" w:pos="5130"/>
        </w:tabs>
        <w:ind w:left="5130" w:hanging="720"/>
      </w:pPr>
    </w:lvl>
    <w:lvl w:ilvl="6">
      <w:start w:val="1"/>
      <w:numFmt w:val="decimal"/>
      <w:lvlText w:val="%7."/>
      <w:lvlJc w:val="left"/>
      <w:pPr>
        <w:tabs>
          <w:tab w:val="num" w:pos="5850"/>
        </w:tabs>
        <w:ind w:left="5850" w:hanging="720"/>
      </w:pPr>
    </w:lvl>
    <w:lvl w:ilvl="7">
      <w:start w:val="1"/>
      <w:numFmt w:val="decimal"/>
      <w:lvlText w:val="%8."/>
      <w:lvlJc w:val="left"/>
      <w:pPr>
        <w:tabs>
          <w:tab w:val="num" w:pos="6570"/>
        </w:tabs>
        <w:ind w:left="6570" w:hanging="720"/>
      </w:pPr>
    </w:lvl>
    <w:lvl w:ilvl="8">
      <w:start w:val="1"/>
      <w:numFmt w:val="decimal"/>
      <w:lvlText w:val="%9."/>
      <w:lvlJc w:val="left"/>
      <w:pPr>
        <w:tabs>
          <w:tab w:val="num" w:pos="7290"/>
        </w:tabs>
        <w:ind w:left="7290" w:hanging="720"/>
      </w:pPr>
    </w:lvl>
  </w:abstractNum>
  <w:abstractNum w:abstractNumId="7" w15:restartNumberingAfterBreak="0">
    <w:nsid w:val="529D1A99"/>
    <w:multiLevelType w:val="multilevel"/>
    <w:tmpl w:val="2884A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ECD1952"/>
    <w:multiLevelType w:val="multilevel"/>
    <w:tmpl w:val="08C26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69A101E2"/>
    <w:multiLevelType w:val="multilevel"/>
    <w:tmpl w:val="CDA0F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71E12559"/>
    <w:multiLevelType w:val="multilevel"/>
    <w:tmpl w:val="E2C40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50193432">
    <w:abstractNumId w:val="6"/>
  </w:num>
  <w:num w:numId="2" w16cid:durableId="1578589926">
    <w:abstractNumId w:val="4"/>
  </w:num>
  <w:num w:numId="3" w16cid:durableId="327443308">
    <w:abstractNumId w:val="0"/>
  </w:num>
  <w:num w:numId="4" w16cid:durableId="865677737">
    <w:abstractNumId w:val="2"/>
  </w:num>
  <w:num w:numId="5" w16cid:durableId="1332174611">
    <w:abstractNumId w:val="5"/>
  </w:num>
  <w:num w:numId="6" w16cid:durableId="2080862101">
    <w:abstractNumId w:val="1"/>
  </w:num>
  <w:num w:numId="7" w16cid:durableId="410736098">
    <w:abstractNumId w:val="3"/>
  </w:num>
  <w:num w:numId="8" w16cid:durableId="768935696">
    <w:abstractNumId w:val="8"/>
  </w:num>
  <w:num w:numId="9" w16cid:durableId="995308069">
    <w:abstractNumId w:val="10"/>
  </w:num>
  <w:num w:numId="10" w16cid:durableId="360984599">
    <w:abstractNumId w:val="7"/>
  </w:num>
  <w:num w:numId="11" w16cid:durableId="2041010236">
    <w:abstractNumId w:val="0"/>
    <w:lvlOverride w:ilvl="0">
      <w:startOverride w:val="1"/>
    </w:lvlOverride>
  </w:num>
  <w:num w:numId="12" w16cid:durableId="2134248307">
    <w:abstractNumId w:val="0"/>
    <w:lvlOverride w:ilvl="0">
      <w:startOverride w:val="1"/>
    </w:lvlOverride>
  </w:num>
  <w:num w:numId="13" w16cid:durableId="1520578829">
    <w:abstractNumId w:val="0"/>
    <w:lvlOverride w:ilvl="0">
      <w:startOverride w:val="1"/>
    </w:lvlOverride>
  </w:num>
  <w:num w:numId="14" w16cid:durableId="2039966943">
    <w:abstractNumId w:val="9"/>
  </w:num>
  <w:num w:numId="15" w16cid:durableId="5471807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1207229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3774"/>
    <w:rsid w:val="00000011"/>
    <w:rsid w:val="00074CCE"/>
    <w:rsid w:val="00075E24"/>
    <w:rsid w:val="000B116D"/>
    <w:rsid w:val="000C2B3F"/>
    <w:rsid w:val="000C5F54"/>
    <w:rsid w:val="001525E5"/>
    <w:rsid w:val="001E58CB"/>
    <w:rsid w:val="002020F9"/>
    <w:rsid w:val="00205880"/>
    <w:rsid w:val="002863E1"/>
    <w:rsid w:val="002E7C98"/>
    <w:rsid w:val="0030508E"/>
    <w:rsid w:val="00326184"/>
    <w:rsid w:val="0036727B"/>
    <w:rsid w:val="00372A1A"/>
    <w:rsid w:val="003D04D9"/>
    <w:rsid w:val="004C5E68"/>
    <w:rsid w:val="004E084F"/>
    <w:rsid w:val="004F7075"/>
    <w:rsid w:val="00514801"/>
    <w:rsid w:val="00544450"/>
    <w:rsid w:val="0055282F"/>
    <w:rsid w:val="00552D7D"/>
    <w:rsid w:val="00563C2E"/>
    <w:rsid w:val="00566450"/>
    <w:rsid w:val="00566BDA"/>
    <w:rsid w:val="00575DA9"/>
    <w:rsid w:val="00593DBA"/>
    <w:rsid w:val="005941FD"/>
    <w:rsid w:val="005A4D36"/>
    <w:rsid w:val="005F0983"/>
    <w:rsid w:val="00624CAE"/>
    <w:rsid w:val="0062781F"/>
    <w:rsid w:val="00677448"/>
    <w:rsid w:val="006E2203"/>
    <w:rsid w:val="007010FF"/>
    <w:rsid w:val="00780465"/>
    <w:rsid w:val="00797B59"/>
    <w:rsid w:val="007A379E"/>
    <w:rsid w:val="007D378F"/>
    <w:rsid w:val="00834AAF"/>
    <w:rsid w:val="008D272E"/>
    <w:rsid w:val="00910D5B"/>
    <w:rsid w:val="00913774"/>
    <w:rsid w:val="00937625"/>
    <w:rsid w:val="00984F19"/>
    <w:rsid w:val="009C4986"/>
    <w:rsid w:val="009E4849"/>
    <w:rsid w:val="00A13493"/>
    <w:rsid w:val="00A7577F"/>
    <w:rsid w:val="00A87FD6"/>
    <w:rsid w:val="00A97198"/>
    <w:rsid w:val="00AB5284"/>
    <w:rsid w:val="00AC4FFD"/>
    <w:rsid w:val="00B0501B"/>
    <w:rsid w:val="00B10D7C"/>
    <w:rsid w:val="00B10DE0"/>
    <w:rsid w:val="00B25AB9"/>
    <w:rsid w:val="00B34910"/>
    <w:rsid w:val="00B42117"/>
    <w:rsid w:val="00B5286C"/>
    <w:rsid w:val="00B60C2C"/>
    <w:rsid w:val="00B630C8"/>
    <w:rsid w:val="00B75B22"/>
    <w:rsid w:val="00B8067C"/>
    <w:rsid w:val="00BA5379"/>
    <w:rsid w:val="00BA6AD8"/>
    <w:rsid w:val="00BF4DAF"/>
    <w:rsid w:val="00BF7C89"/>
    <w:rsid w:val="00C03728"/>
    <w:rsid w:val="00C10135"/>
    <w:rsid w:val="00C17D12"/>
    <w:rsid w:val="00C44C02"/>
    <w:rsid w:val="00C83889"/>
    <w:rsid w:val="00C86C18"/>
    <w:rsid w:val="00CC5221"/>
    <w:rsid w:val="00D5574B"/>
    <w:rsid w:val="00D716E5"/>
    <w:rsid w:val="00D7312E"/>
    <w:rsid w:val="00D812F3"/>
    <w:rsid w:val="00D91C35"/>
    <w:rsid w:val="00DE3098"/>
    <w:rsid w:val="00E57CBB"/>
    <w:rsid w:val="00E96BE2"/>
    <w:rsid w:val="00EB02FF"/>
    <w:rsid w:val="00EB0768"/>
    <w:rsid w:val="00EC652C"/>
    <w:rsid w:val="00ED4021"/>
    <w:rsid w:val="00EF58C3"/>
    <w:rsid w:val="00F22A0B"/>
    <w:rsid w:val="00F61C83"/>
    <w:rsid w:val="00F82474"/>
    <w:rsid w:val="00FD73F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docId w15:val="{5F1A359A-B0CB-4050-8E93-E4F63E866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BA6AD8"/>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552D7D"/>
    <w:pPr>
      <w:keepNext/>
      <w:keepLines/>
      <w:numPr>
        <w:numId w:val="4"/>
      </w:numPr>
      <w:shd w:val="clear" w:color="auto" w:fill="FFFFFF"/>
      <w:spacing w:after="0" w:line="900" w:lineRule="atLeast"/>
      <w:jc w:val="left"/>
      <w:textAlignment w:val="baseline"/>
      <w:outlineLvl w:val="0"/>
    </w:pPr>
    <w:rPr>
      <w:rFonts w:eastAsiaTheme="majorEastAsia" w:cstheme="majorBidi"/>
      <w:b/>
      <w:sz w:val="60"/>
      <w:szCs w:val="32"/>
    </w:rPr>
  </w:style>
  <w:style w:type="paragraph" w:styleId="Titre2">
    <w:name w:val="heading 2"/>
    <w:aliases w:val="Titre 2 CGPC"/>
    <w:basedOn w:val="CGPC-elearning"/>
    <w:next w:val="Normal"/>
    <w:link w:val="Titre2Car"/>
    <w:autoRedefine/>
    <w:uiPriority w:val="9"/>
    <w:unhideWhenUsed/>
    <w:qFormat/>
    <w:rsid w:val="00544450"/>
    <w:pPr>
      <w:keepNext/>
      <w:keepLines/>
      <w:numPr>
        <w:numId w:val="1"/>
      </w:numPr>
      <w:spacing w:after="0" w:line="600" w:lineRule="atLeast"/>
      <w:contextualSpacing/>
      <w:textAlignment w:val="baseline"/>
      <w:outlineLvl w:val="1"/>
    </w:pPr>
    <w:rPr>
      <w:rFonts w:eastAsiaTheme="majorEastAsia"/>
      <w:b/>
      <w:color w:val="FFFFFF" w:themeColor="background1"/>
      <w:sz w:val="48"/>
      <w:szCs w:val="26"/>
      <w:bdr w:val="none" w:sz="0" w:space="0" w:color="auto" w:frame="1"/>
    </w:rPr>
  </w:style>
  <w:style w:type="paragraph" w:styleId="Titre3">
    <w:name w:val="heading 3"/>
    <w:aliases w:val="Titre 3 CGPC"/>
    <w:basedOn w:val="CGPC-elearning"/>
    <w:next w:val="Normal"/>
    <w:link w:val="Titre3Car"/>
    <w:autoRedefine/>
    <w:uiPriority w:val="9"/>
    <w:unhideWhenUsed/>
    <w:qFormat/>
    <w:rsid w:val="00BA6AD8"/>
    <w:pPr>
      <w:keepNext/>
      <w:keepLines/>
      <w:numPr>
        <w:numId w:val="3"/>
      </w:numPr>
      <w:shd w:val="clear" w:color="auto" w:fill="FFFFFF"/>
      <w:spacing w:after="0" w:line="675" w:lineRule="atLeast"/>
      <w:textAlignment w:val="baseline"/>
      <w:outlineLvl w:val="2"/>
    </w:pPr>
    <w:rPr>
      <w:rFonts w:eastAsia="Times New Roman"/>
      <w:b/>
      <w:color w:val="2F5496" w:themeColor="accent1" w:themeShade="BF"/>
      <w:sz w:val="40"/>
      <w:szCs w:val="30"/>
      <w:bdr w:val="none" w:sz="0" w:space="0" w:color="auto" w:frame="1"/>
      <w:lang w:eastAsia="fr-FR"/>
    </w:rPr>
  </w:style>
  <w:style w:type="paragraph" w:styleId="Titre4">
    <w:name w:val="heading 4"/>
    <w:aliases w:val="Titre 4 CGPC"/>
    <w:basedOn w:val="CGPC-elearning"/>
    <w:next w:val="Normal"/>
    <w:link w:val="Titre4Car"/>
    <w:autoRedefine/>
    <w:uiPriority w:val="9"/>
    <w:unhideWhenUsed/>
    <w:qFormat/>
    <w:rsid w:val="00563C2E"/>
    <w:pPr>
      <w:keepNext/>
      <w:keepLines/>
      <w:numPr>
        <w:numId w:val="2"/>
      </w:numPr>
      <w:spacing w:before="280" w:after="240"/>
      <w:outlineLvl w:val="3"/>
    </w:pPr>
    <w:rPr>
      <w:rFonts w:eastAsiaTheme="majorEastAsia" w:cstheme="majorBidi"/>
      <w:b/>
      <w:iCs/>
      <w:color w:val="2F5496" w:themeColor="accent1" w:themeShade="BF"/>
      <w:sz w:val="32"/>
      <w:u w:val="single"/>
      <w:bdr w:val="none" w:sz="0" w:space="0" w:color="auto" w:frame="1"/>
    </w:rPr>
  </w:style>
  <w:style w:type="paragraph" w:styleId="Titre5">
    <w:name w:val="heading 5"/>
    <w:aliases w:val="Titre 5 CGPC"/>
    <w:basedOn w:val="CGPC-elearning"/>
    <w:next w:val="Normal"/>
    <w:link w:val="Titre5Car"/>
    <w:autoRedefine/>
    <w:uiPriority w:val="9"/>
    <w:unhideWhenUsed/>
    <w:qFormat/>
    <w:rsid w:val="00D7312E"/>
    <w:pPr>
      <w:keepNext/>
      <w:keepLines/>
      <w:tabs>
        <w:tab w:val="num" w:pos="720"/>
      </w:tabs>
      <w:spacing w:before="400" w:after="360"/>
      <w:ind w:left="1080" w:hanging="360"/>
      <w:outlineLvl w:val="4"/>
    </w:pPr>
    <w:rPr>
      <w:rFonts w:eastAsia="Times New Roman" w:cstheme="majorBidi"/>
      <w:b/>
      <w:i/>
      <w:color w:val="2F5496" w:themeColor="accent1" w:themeShade="BF"/>
      <w:bdr w:val="none" w:sz="0" w:space="0" w:color="auto" w:frame="1"/>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544450"/>
    <w:rPr>
      <w:rFonts w:ascii="Open Sans" w:eastAsiaTheme="majorEastAsia" w:hAnsi="Open Sans" w:cs="Open Sans"/>
      <w:b/>
      <w:bCs/>
      <w:color w:val="FFFFFF" w:themeColor="background1"/>
      <w:sz w:val="48"/>
      <w:szCs w:val="26"/>
      <w:bdr w:val="none" w:sz="0" w:space="0" w:color="auto" w:frame="1"/>
    </w:rPr>
  </w:style>
  <w:style w:type="character" w:customStyle="1" w:styleId="Titre1Car">
    <w:name w:val="Titre 1 Car"/>
    <w:basedOn w:val="Policepardfaut"/>
    <w:link w:val="Titre1"/>
    <w:uiPriority w:val="9"/>
    <w:rsid w:val="00552D7D"/>
    <w:rPr>
      <w:rFonts w:ascii="Open Sans" w:eastAsiaTheme="majorEastAsia" w:hAnsi="Open Sans" w:cstheme="majorBidi"/>
      <w:b/>
      <w:kern w:val="0"/>
      <w:sz w:val="60"/>
      <w:szCs w:val="32"/>
      <w:shd w:val="clear" w:color="auto" w:fill="FFFFFF"/>
      <w14:ligatures w14:val="none"/>
    </w:rPr>
  </w:style>
  <w:style w:type="paragraph" w:customStyle="1" w:styleId="CGPC-elearning">
    <w:name w:val="CGPC-elearning"/>
    <w:basedOn w:val="Normal"/>
    <w:link w:val="CGPC-elearningCar"/>
    <w:autoRedefine/>
    <w:qFormat/>
    <w:rsid w:val="00BA5379"/>
    <w:rPr>
      <w:rFonts w:cs="Open Sans"/>
      <w:bCs/>
      <w:kern w:val="2"/>
      <w:szCs w:val="36"/>
      <w14:ligatures w14:val="standardContextual"/>
    </w:rPr>
  </w:style>
  <w:style w:type="character" w:customStyle="1" w:styleId="CGPC-elearningCar">
    <w:name w:val="CGPC-elearning Car"/>
    <w:basedOn w:val="Policepardfaut"/>
    <w:link w:val="CGPC-elearning"/>
    <w:rsid w:val="00BA5379"/>
    <w:rPr>
      <w:rFonts w:ascii="Open Sans" w:hAnsi="Open Sans" w:cs="Open Sans"/>
      <w:bCs/>
      <w:sz w:val="24"/>
      <w:szCs w:val="36"/>
    </w:rPr>
  </w:style>
  <w:style w:type="character" w:customStyle="1" w:styleId="Titre3Car">
    <w:name w:val="Titre 3 Car"/>
    <w:aliases w:val="Titre 3 CGPC Car"/>
    <w:basedOn w:val="Policepardfaut"/>
    <w:link w:val="Titre3"/>
    <w:uiPriority w:val="9"/>
    <w:rsid w:val="00BA6AD8"/>
    <w:rPr>
      <w:rFonts w:ascii="Open Sans" w:eastAsia="Times New Roman" w:hAnsi="Open Sans" w:cs="Open Sans"/>
      <w:b/>
      <w:bCs/>
      <w:color w:val="2F5496" w:themeColor="accent1" w:themeShade="BF"/>
      <w:sz w:val="40"/>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563C2E"/>
    <w:rPr>
      <w:rFonts w:ascii="Open Sans" w:eastAsiaTheme="majorEastAsia" w:hAnsi="Open Sans" w:cstheme="majorBidi"/>
      <w:b/>
      <w:bCs/>
      <w:iCs/>
      <w:color w:val="2F5496" w:themeColor="accent1" w:themeShade="BF"/>
      <w:sz w:val="32"/>
      <w:szCs w:val="36"/>
      <w:u w:val="single"/>
      <w:bdr w:val="none" w:sz="0" w:space="0" w:color="auto" w:frame="1"/>
    </w:rPr>
  </w:style>
  <w:style w:type="character" w:customStyle="1" w:styleId="Titre5Car">
    <w:name w:val="Titre 5 Car"/>
    <w:aliases w:val="Titre 5 CGPC Car"/>
    <w:basedOn w:val="Policepardfaut"/>
    <w:link w:val="Titre5"/>
    <w:uiPriority w:val="9"/>
    <w:rsid w:val="00D7312E"/>
    <w:rPr>
      <w:rFonts w:ascii="Open Sans" w:eastAsia="Times New Roman" w:hAnsi="Open Sans" w:cstheme="majorBidi"/>
      <w:b/>
      <w:bCs/>
      <w:i/>
      <w:color w:val="2F5496" w:themeColor="accent1" w:themeShade="BF"/>
      <w:sz w:val="28"/>
      <w:szCs w:val="36"/>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Textedebulles">
    <w:name w:val="Balloon Text"/>
    <w:basedOn w:val="Normal"/>
    <w:link w:val="TextedebullesCar"/>
    <w:uiPriority w:val="99"/>
    <w:semiHidden/>
    <w:unhideWhenUsed/>
    <w:rsid w:val="00D716E5"/>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D716E5"/>
    <w:rPr>
      <w:rFonts w:ascii="Tahoma" w:hAnsi="Tahoma" w:cs="Tahoma"/>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legifrance.gouv.fr/affichCodeArticle.do?cidTexte=LEGITEXT000006070721&amp;idArticle=LEGIARTI000006444494&amp;dateTexte=&amp;categorieLien=cid"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42C747-128E-4B58-B572-DEC1CCAD6D58}">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2.xml><?xml version="1.0" encoding="utf-8"?>
<ds:datastoreItem xmlns:ds="http://schemas.openxmlformats.org/officeDocument/2006/customXml" ds:itemID="{176A500D-949F-418D-89C3-BEAB25F14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79812a-7967-4ed2-9291-1c797a51b449"/>
    <ds:schemaRef ds:uri="427b065b-dfa1-44b2-8977-c4f8c74eb7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947FDB-D368-406E-8262-D5CF77B06528}">
  <ds:schemaRefs>
    <ds:schemaRef ds:uri="http://schemas.microsoft.com/sharepoint/v3/contenttype/forms"/>
  </ds:schemaRefs>
</ds:datastoreItem>
</file>

<file path=customXml/itemProps4.xml><?xml version="1.0" encoding="utf-8"?>
<ds:datastoreItem xmlns:ds="http://schemas.openxmlformats.org/officeDocument/2006/customXml" ds:itemID="{D4231651-4F71-4439-9961-AD69C21783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1092</Words>
  <Characters>6012</Characters>
  <Application>Microsoft Office Word</Application>
  <DocSecurity>0</DocSecurity>
  <Lines>50</Lines>
  <Paragraphs>14</Paragraphs>
  <ScaleCrop>false</ScaleCrop>
  <HeadingPairs>
    <vt:vector size="2" baseType="variant">
      <vt:variant>
        <vt:lpstr>Titre</vt:lpstr>
      </vt:variant>
      <vt:variant>
        <vt:i4>1</vt:i4>
      </vt:variant>
    </vt:vector>
  </HeadingPairs>
  <TitlesOfParts>
    <vt:vector size="1" baseType="lpstr">
      <vt:lpstr>Chapitre 4</vt:lpstr>
    </vt:vector>
  </TitlesOfParts>
  <Company>CGPC - membre de FPSB</Company>
  <LinksUpToDate>false</LinksUpToDate>
  <CharactersWithSpaces>7090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4 : De la protection du partenaire PACsé</dc:title>
  <dc:subject>De la protection du partenaire PACsé</dc:subject>
  <dc:creator>Renaud Duval</dc:creator>
  <cp:lastModifiedBy>Raymond Leban</cp:lastModifiedBy>
  <cp:revision>19</cp:revision>
  <cp:lastPrinted>2024-12-19T13:30:00Z</cp:lastPrinted>
  <dcterms:created xsi:type="dcterms:W3CDTF">2024-03-03T13:08:00Z</dcterms:created>
  <dcterms:modified xsi:type="dcterms:W3CDTF">2026-01-30T15:33:00Z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